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72967A" w14:textId="66C465EF" w:rsidR="00B828E4" w:rsidRDefault="00B828E4" w:rsidP="00BC146F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p w14:paraId="4777D2D2" w14:textId="77777777" w:rsidR="00B828E4" w:rsidRDefault="00B828E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8B28B2" w14:textId="2C2493E6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8A4EEBB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1A67735F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044F3C06" w14:textId="08D6F447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ostawy węgla kamiennego do celów energetycznych sortyment Miał I, Miał II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5E5356">
        <w:rPr>
          <w:rFonts w:ascii="Lato" w:hAnsi="Lato"/>
          <w:b/>
          <w:bCs/>
          <w:sz w:val="22"/>
          <w:szCs w:val="22"/>
        </w:rPr>
        <w:t>3</w:t>
      </w:r>
      <w:r w:rsidR="00982154" w:rsidRPr="00464D1A">
        <w:rPr>
          <w:rFonts w:ascii="Lato" w:hAnsi="Lato"/>
          <w:b/>
          <w:bCs/>
          <w:sz w:val="22"/>
          <w:szCs w:val="22"/>
        </w:rPr>
        <w:t> 000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6EBE5B03" w14:textId="59AC29A6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 xml:space="preserve">Nr rej. </w:t>
      </w:r>
      <w:r w:rsidR="007A69A4">
        <w:rPr>
          <w:rFonts w:ascii="Lato" w:hAnsi="Lato" w:cs="Calibri"/>
          <w:bCs/>
          <w:sz w:val="22"/>
          <w:szCs w:val="22"/>
        </w:rPr>
        <w:t>701</w:t>
      </w:r>
      <w:r w:rsidR="00660E5E" w:rsidRPr="00660E5E">
        <w:rPr>
          <w:rFonts w:ascii="Lato" w:hAnsi="Lato" w:cs="Calibri"/>
          <w:bCs/>
          <w:sz w:val="22"/>
          <w:szCs w:val="22"/>
        </w:rPr>
        <w:t>/</w:t>
      </w:r>
      <w:r w:rsidR="007A69A4">
        <w:rPr>
          <w:rFonts w:ascii="Lato" w:hAnsi="Lato" w:cs="Calibri"/>
          <w:bCs/>
          <w:sz w:val="22"/>
          <w:szCs w:val="22"/>
        </w:rPr>
        <w:t>11</w:t>
      </w:r>
      <w:r w:rsidR="00660E5E" w:rsidRPr="00660E5E">
        <w:rPr>
          <w:rFonts w:ascii="Lato" w:hAnsi="Lato" w:cs="Calibri"/>
          <w:bCs/>
          <w:sz w:val="22"/>
          <w:szCs w:val="22"/>
        </w:rPr>
        <w:t>/2022/W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FA8A94E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473FB17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0746E75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A3B711B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56EFBC9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DBE4C32" w14:textId="77777777"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819E1A7" w14:textId="563E1589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73F2B51B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22AA81EA" w14:textId="48736AE2" w:rsidR="0069361C" w:rsidRPr="000C35C4" w:rsidRDefault="0069361C" w:rsidP="00660E5E">
      <w:pPr>
        <w:spacing w:line="276" w:lineRule="auto"/>
        <w:rPr>
          <w:rFonts w:ascii="Lato" w:hAnsi="Lato"/>
          <w:b/>
          <w:sz w:val="22"/>
          <w:szCs w:val="22"/>
        </w:rPr>
      </w:pPr>
    </w:p>
    <w:p w14:paraId="0818E4D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D00CF1D" w14:textId="133D90CA" w:rsidR="005A150A" w:rsidRDefault="005A150A" w:rsidP="005A150A"/>
    <w:p w14:paraId="3BE85080" w14:textId="4F41D5DD" w:rsidR="00660E5E" w:rsidRDefault="00660E5E" w:rsidP="005A150A"/>
    <w:p w14:paraId="2BB650F5" w14:textId="73060C9D" w:rsidR="00660E5E" w:rsidRDefault="00660E5E" w:rsidP="005A150A"/>
    <w:p w14:paraId="4A1ED0F4" w14:textId="18C6F526" w:rsidR="00660E5E" w:rsidRDefault="00660E5E" w:rsidP="005A150A"/>
    <w:p w14:paraId="23B76D8D" w14:textId="15537143" w:rsidR="00660E5E" w:rsidRDefault="00660E5E" w:rsidP="005A150A"/>
    <w:p w14:paraId="3D2CD5E8" w14:textId="7E641F89" w:rsidR="00660E5E" w:rsidRDefault="00660E5E" w:rsidP="005A150A"/>
    <w:p w14:paraId="621AC6D9" w14:textId="0B4BC5FE" w:rsidR="00660E5E" w:rsidRDefault="00660E5E" w:rsidP="005A150A"/>
    <w:p w14:paraId="74F74BE8" w14:textId="6ADA3909" w:rsidR="00660E5E" w:rsidRDefault="00660E5E" w:rsidP="005A150A"/>
    <w:p w14:paraId="50CAFC0A" w14:textId="18718EDE" w:rsidR="00660E5E" w:rsidRDefault="00660E5E" w:rsidP="005A150A"/>
    <w:p w14:paraId="5782879B" w14:textId="5A889EFA" w:rsidR="00660E5E" w:rsidRDefault="00660E5E" w:rsidP="005A150A"/>
    <w:p w14:paraId="4647CDE3" w14:textId="461B207F" w:rsidR="00660E5E" w:rsidRDefault="00660E5E" w:rsidP="005A150A"/>
    <w:p w14:paraId="19BA7EAE" w14:textId="02524D2B" w:rsidR="00660E5E" w:rsidRDefault="00660E5E" w:rsidP="005A150A"/>
    <w:p w14:paraId="2A67213F" w14:textId="25D8A84A" w:rsidR="00BC146F" w:rsidRDefault="00BC146F" w:rsidP="005A150A"/>
    <w:p w14:paraId="03BCD369" w14:textId="5607C410" w:rsidR="00BC146F" w:rsidRDefault="00BC146F" w:rsidP="005A150A"/>
    <w:p w14:paraId="02F9790D" w14:textId="77777777" w:rsidR="00BC146F" w:rsidRDefault="00BC146F" w:rsidP="005A150A"/>
    <w:p w14:paraId="02949AAB" w14:textId="76C7D541" w:rsidR="00977050" w:rsidRDefault="00977050" w:rsidP="00BC7267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0882EF3B" w14:textId="77777777" w:rsidR="00EA0CC6" w:rsidRDefault="00EA0CC6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</w:p>
    <w:p w14:paraId="6E47D3B8" w14:textId="79A6A132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076AFFE3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7BE21872" w14:textId="57662EC8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UMOWA NR </w:t>
      </w:r>
      <w:r w:rsidR="007A69A4">
        <w:rPr>
          <w:rFonts w:ascii="Lato" w:hAnsi="Lato"/>
          <w:bCs/>
          <w:sz w:val="22"/>
          <w:szCs w:val="22"/>
        </w:rPr>
        <w:t>701</w:t>
      </w:r>
      <w:r w:rsidRPr="00FF1570">
        <w:rPr>
          <w:rFonts w:ascii="Lato" w:hAnsi="Lato"/>
          <w:bCs/>
          <w:sz w:val="22"/>
          <w:szCs w:val="22"/>
        </w:rPr>
        <w:t>/</w:t>
      </w:r>
      <w:r w:rsidR="007A69A4">
        <w:rPr>
          <w:rFonts w:ascii="Lato" w:hAnsi="Lato"/>
          <w:bCs/>
          <w:sz w:val="22"/>
          <w:szCs w:val="22"/>
        </w:rPr>
        <w:t>11</w:t>
      </w:r>
      <w:r>
        <w:rPr>
          <w:rFonts w:ascii="Lato" w:hAnsi="Lato"/>
          <w:bCs/>
          <w:sz w:val="22"/>
          <w:szCs w:val="22"/>
        </w:rPr>
        <w:t>/2022/W</w:t>
      </w:r>
    </w:p>
    <w:p w14:paraId="2BD0CE4B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486D6E9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43EF5CF2" w14:textId="77777777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50CD8183" w14:textId="4D86EBB8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6EE5102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151E2DE" w14:textId="5B14ABB2"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790B4F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B39310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F1DC3F3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3F313EC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4F502BFC" w14:textId="4BA805FA"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 I, Miał II w ilości</w:t>
      </w:r>
      <w:r>
        <w:rPr>
          <w:rFonts w:ascii="Lato" w:hAnsi="Lato"/>
          <w:b/>
          <w:bCs/>
          <w:sz w:val="22"/>
          <w:szCs w:val="22"/>
        </w:rPr>
        <w:t xml:space="preserve"> 3</w:t>
      </w:r>
      <w:r w:rsidRPr="00FB0D54">
        <w:rPr>
          <w:rFonts w:ascii="Lato" w:hAnsi="Lato"/>
          <w:b/>
          <w:bCs/>
          <w:sz w:val="22"/>
          <w:szCs w:val="22"/>
        </w:rPr>
        <w:t> 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51B44813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0C3DDF7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I  lub Miał II </w:t>
      </w:r>
    </w:p>
    <w:p w14:paraId="3CB2948C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29F9A12B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68A8AE15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2A2B5610" w14:textId="48DADA16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="00B828E4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      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5B917602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6690E8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375F4F26" w14:textId="77777777" w:rsidR="004620C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3F1EC62E" w14:textId="77777777" w:rsidR="006676AC" w:rsidRPr="008E4986" w:rsidRDefault="004620C9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8E4986">
        <w:rPr>
          <w:rFonts w:ascii="Lato" w:hAnsi="Lato" w:cstheme="minorHAnsi"/>
        </w:rPr>
        <w:t>Zawartość podziarna 0-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 xml:space="preserve"> mm </w:t>
      </w:r>
      <w:r w:rsidRPr="008E4986">
        <w:rPr>
          <w:rFonts w:ascii="Lato" w:hAnsi="Lato" w:cstheme="minorHAnsi"/>
        </w:rPr>
        <w:tab/>
        <w:t>&lt;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>0%</w:t>
      </w:r>
    </w:p>
    <w:p w14:paraId="17446396" w14:textId="6CE1D400" w:rsidR="006676AC" w:rsidRPr="008E4986" w:rsidRDefault="006676AC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8E4986">
        <w:rPr>
          <w:rFonts w:ascii="Lato" w:hAnsi="Lato" w:cstheme="minorHAnsi"/>
        </w:rPr>
        <w:t xml:space="preserve">Zawartość podziarna 0-3 mm </w:t>
      </w:r>
      <w:r w:rsidRPr="008E4986">
        <w:rPr>
          <w:rFonts w:ascii="Lato" w:hAnsi="Lato" w:cstheme="minorHAnsi"/>
        </w:rPr>
        <w:tab/>
        <w:t>&lt;20%</w:t>
      </w:r>
    </w:p>
    <w:p w14:paraId="77F72545" w14:textId="77777777"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3FB29B4" w14:textId="1FF11899"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01.12.2022 r. do 3</w:t>
      </w:r>
      <w:r w:rsidR="00791686">
        <w:rPr>
          <w:rFonts w:ascii="Lato" w:hAnsi="Lato"/>
          <w:bCs/>
          <w:sz w:val="22"/>
          <w:szCs w:val="22"/>
        </w:rPr>
        <w:t>1</w:t>
      </w:r>
      <w:r w:rsidR="00791686" w:rsidRPr="00791686">
        <w:rPr>
          <w:rFonts w:ascii="Lato" w:hAnsi="Lato"/>
          <w:bCs/>
          <w:sz w:val="22"/>
          <w:szCs w:val="22"/>
        </w:rPr>
        <w:t>.12.2022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 xml:space="preserve">w ilości 3 000 ton. </w:t>
      </w:r>
    </w:p>
    <w:p w14:paraId="5F5DAE0B" w14:textId="25843C31"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14:paraId="27EABE14" w14:textId="77777777"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738AD62F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047CFDF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4F9A9BFE" w14:textId="7609D0CF"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umowy realizowany będzie według poniższego terminu: </w:t>
      </w:r>
      <w:r w:rsidR="00791686" w:rsidRPr="00791686">
        <w:rPr>
          <w:rFonts w:ascii="Lato" w:hAnsi="Lato"/>
          <w:b w:val="0"/>
          <w:sz w:val="22"/>
          <w:szCs w:val="22"/>
        </w:rPr>
        <w:t>od 01.12.2022 r. do 31.12.2022 r.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14:paraId="4DFE6F29" w14:textId="0A862111" w:rsidR="004620C9" w:rsidRPr="00EA0CC6" w:rsidRDefault="004620C9" w:rsidP="0040545C">
      <w:pPr>
        <w:pStyle w:val="Paragraf"/>
        <w:keepNext w:val="0"/>
        <w:spacing w:before="0" w:after="0"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740789EC" w14:textId="77777777" w:rsidR="008E4986" w:rsidRPr="00EA0CC6" w:rsidRDefault="008E4986" w:rsidP="008E4986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34FB46D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26DA9DB9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BE18B57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06AB46E0" w14:textId="152CFFA1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kotłowni, o której mowa w § 4 ust. 1 + należny podatek VAT.</w:t>
      </w:r>
    </w:p>
    <w:p w14:paraId="73CAB0AD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41E8CA9E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1AB1ED49" w14:textId="0301D9F6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36E8D3D9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6478B26C" w14:textId="4628DC47" w:rsidR="004620C9" w:rsidRPr="00EA0CC6" w:rsidRDefault="004620C9" w:rsidP="005C740B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uiści na rzecz Wykonawc</w:t>
      </w:r>
      <w:r w:rsidR="005C740B" w:rsidRPr="00EA0CC6">
        <w:rPr>
          <w:rFonts w:ascii="Lato" w:hAnsi="Lato"/>
          <w:sz w:val="22"/>
          <w:szCs w:val="22"/>
        </w:rPr>
        <w:t>y za daną dostawę wynagrodzenie w terminie 14</w:t>
      </w:r>
      <w:r w:rsidRPr="00EA0CC6">
        <w:rPr>
          <w:rFonts w:ascii="Lato" w:hAnsi="Lato"/>
          <w:sz w:val="22"/>
          <w:szCs w:val="22"/>
        </w:rPr>
        <w:t xml:space="preserve"> dni od daty dostawy.</w:t>
      </w:r>
    </w:p>
    <w:p w14:paraId="0561CB6E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13C5E78C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A509C42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718764DE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2359121" w14:textId="6626D43B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14:paraId="0C0DA231" w14:textId="6F26AC75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EA0CC6">
        <w:rPr>
          <w:rFonts w:ascii="Lato" w:hAnsi="Lato"/>
          <w:bCs/>
          <w:sz w:val="22"/>
          <w:szCs w:val="22"/>
        </w:rPr>
        <w:t>- 15</w:t>
      </w:r>
      <w:r w:rsidRPr="00EA0CC6">
        <w:rPr>
          <w:rFonts w:ascii="Lato" w:hAnsi="Lato"/>
          <w:bCs/>
          <w:sz w:val="22"/>
          <w:szCs w:val="22"/>
          <w:vertAlign w:val="superscript"/>
        </w:rPr>
        <w:t>00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0213E761" w14:textId="539114BE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597337F6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5C136270" w14:textId="7EBF8920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F0F19CE" w14:textId="4B0F930E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05BF15D8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26B2F326" w14:textId="79125141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Umowy. </w:t>
      </w:r>
    </w:p>
    <w:p w14:paraId="7863AB8F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</w:p>
    <w:p w14:paraId="158E0AAC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053C154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</w:p>
    <w:p w14:paraId="6D09A98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siarki całkowitej w stanie roboczym wyższą niż 0,8 %, lub</w:t>
      </w:r>
    </w:p>
    <w:p w14:paraId="26BA4EC1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 lub,</w:t>
      </w:r>
    </w:p>
    <w:p w14:paraId="546C155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</w:p>
    <w:p w14:paraId="517C3CB1" w14:textId="77777777" w:rsidR="004620C9" w:rsidRPr="00EA0CC6" w:rsidRDefault="004620C9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Pr="00EA0CC6">
        <w:rPr>
          <w:rFonts w:ascii="Lato" w:eastAsia="NSimSun" w:hAnsi="Lato" w:cs="Mangal"/>
          <w:kern w:val="1"/>
          <w:lang w:eastAsia="hi-IN" w:bidi="hi-IN"/>
        </w:rPr>
        <w:t>ej 26%.</w:t>
      </w:r>
    </w:p>
    <w:p w14:paraId="26313D13" w14:textId="647859DA" w:rsidR="004620C9" w:rsidRPr="00EA0CC6" w:rsidRDefault="005602B9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 xml:space="preserve">Zawartość podziarna 0-1 mm </w:t>
      </w:r>
      <w:r w:rsidRPr="00EA0CC6">
        <w:rPr>
          <w:rFonts w:ascii="Lato" w:eastAsia="NSimSun" w:hAnsi="Lato" w:cs="Mangal"/>
          <w:kern w:val="1"/>
          <w:lang w:eastAsia="hi-IN" w:bidi="hi-IN"/>
        </w:rPr>
        <w:tab/>
        <w:t>&lt;1</w:t>
      </w:r>
      <w:r w:rsidR="004620C9" w:rsidRPr="00EA0CC6">
        <w:rPr>
          <w:rFonts w:ascii="Lato" w:eastAsia="NSimSun" w:hAnsi="Lato" w:cs="Mangal"/>
          <w:kern w:val="1"/>
          <w:lang w:eastAsia="hi-IN" w:bidi="hi-IN"/>
        </w:rPr>
        <w:t>5%</w:t>
      </w:r>
    </w:p>
    <w:p w14:paraId="781BF561" w14:textId="44ED4B64" w:rsidR="005602B9" w:rsidRPr="00EA0CC6" w:rsidRDefault="005602B9" w:rsidP="005602B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 xml:space="preserve">Zawartość podziarna 0-3 mm </w:t>
      </w:r>
      <w:r w:rsidRPr="00EA0CC6">
        <w:rPr>
          <w:rFonts w:ascii="Lato" w:eastAsia="NSimSun" w:hAnsi="Lato" w:cs="Mangal"/>
          <w:kern w:val="1"/>
          <w:lang w:eastAsia="hi-IN" w:bidi="hi-IN"/>
        </w:rPr>
        <w:tab/>
        <w:t>&lt;25%</w:t>
      </w:r>
    </w:p>
    <w:p w14:paraId="4A00D586" w14:textId="77777777" w:rsidR="004620C9" w:rsidRPr="00FB0D54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14:paraId="1D0C446F" w14:textId="77777777" w:rsidR="004620C9" w:rsidRPr="00FB0D54" w:rsidRDefault="004620C9" w:rsidP="004620C9">
      <w:pPr>
        <w:pStyle w:val="Tekstpodstawowywcity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</w:p>
    <w:p w14:paraId="7AAA0620" w14:textId="77777777"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14:paraId="67B9F57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640B5343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21861A8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30B4FADF" w14:textId="56711468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2A091594" w14:textId="4B28CA06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1C3A" w14:textId="77777777"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0AC71C3A" w14:textId="77777777"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98D9D11" w14:textId="77D62B7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D3D16F5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A574" w14:textId="77777777"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1392A574" w14:textId="77777777"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08CF67E6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17D1AA6A" w14:textId="77777777"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1835F66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07EFC36B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14:paraId="1428A0E9" w14:textId="36398002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75B1D798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42A8D0F7" w14:textId="77777777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14:paraId="61655930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081B6EE4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1F79DC40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2103384D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1393AC88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34E869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14:paraId="168F317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14:paraId="0E6A7D4D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2655B43D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14:paraId="40F043A7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14:paraId="5C60400C" w14:textId="19CC095D" w:rsidR="004620C9" w:rsidRPr="00853F12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>0%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nie więcej niż 10% wartości;</w:t>
      </w:r>
    </w:p>
    <w:p w14:paraId="438FEB09" w14:textId="7EC39EF5" w:rsidR="00BF6666" w:rsidRPr="00853F12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DF03C4" w:rsidRPr="00853F12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20% za każdy rozpoczęty 1% przekroczenia w wysokości 0,5 % wartości rzeczywistej partii, której dotyczył wynik badania jakości, jednak nie więcej niż 10% wartości;</w:t>
      </w:r>
    </w:p>
    <w:p w14:paraId="7385F92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14:paraId="75B4437A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14:paraId="1F8D9855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14:paraId="1619B5D8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14:paraId="7361E573" w14:textId="77777777"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0DAC5FA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28DE01F4" w14:textId="77777777"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>
        <w:rPr>
          <w:rFonts w:ascii="Lato" w:hAnsi="Lato"/>
          <w:sz w:val="22"/>
          <w:szCs w:val="22"/>
        </w:rPr>
        <w:t xml:space="preserve"> 7.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09C71A4E" w14:textId="391C239F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3648D523" w14:textId="2C9C0708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23257F66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7095442B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>
        <w:rPr>
          <w:rFonts w:ascii="Lato" w:hAnsi="Lato"/>
          <w:sz w:val="22"/>
          <w:szCs w:val="22"/>
        </w:rPr>
        <w:t>8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296516D7" w14:textId="77777777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14:paraId="2629FB44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14:paraId="33992C48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14:paraId="16449210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14:paraId="5FA4235D" w14:textId="77777777"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14:paraId="36ED7F6D" w14:textId="77777777"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14:paraId="503E4DDE" w14:textId="77777777"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14:paraId="013E0C41" w14:textId="77777777"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>
        <w:rPr>
          <w:rFonts w:ascii="Lato" w:hAnsi="Lato"/>
          <w:b/>
          <w:bCs/>
          <w:sz w:val="22"/>
          <w:szCs w:val="22"/>
        </w:rPr>
        <w:t>9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4468BB7B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00ED3B6D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14:paraId="280D6618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2512619E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4D37A089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14:paraId="6A167774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14:paraId="7AF190D4" w14:textId="77777777"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204E003E" w14:textId="77777777"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6B6BFB4D" w14:textId="059D232A"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8949C54" w14:textId="77777777"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83E16F5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03AA0B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9F3731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B1552C8" w14:textId="77777777"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1C157F6D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7FC637FC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725EB202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76A79518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B8AE" w14:textId="77777777" w:rsidR="00AA2531" w:rsidRDefault="00AA2531">
      <w:r>
        <w:separator/>
      </w:r>
    </w:p>
  </w:endnote>
  <w:endnote w:type="continuationSeparator" w:id="0">
    <w:p w14:paraId="1150CDD8" w14:textId="77777777" w:rsidR="00AA2531" w:rsidRDefault="00A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1850E846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BC146F">
      <w:rPr>
        <w:rFonts w:ascii="Lato" w:hAnsi="Lato"/>
        <w:noProof/>
      </w:rPr>
      <w:t>8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CB64" w14:textId="77777777" w:rsidR="00AA2531" w:rsidRDefault="00AA2531">
      <w:r>
        <w:separator/>
      </w:r>
    </w:p>
  </w:footnote>
  <w:footnote w:type="continuationSeparator" w:id="0">
    <w:p w14:paraId="06DCE7C0" w14:textId="77777777" w:rsidR="00AA2531" w:rsidRDefault="00AA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5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9"/>
  </w:num>
  <w:num w:numId="2">
    <w:abstractNumId w:val="0"/>
  </w:num>
  <w:num w:numId="3">
    <w:abstractNumId w:val="50"/>
  </w:num>
  <w:num w:numId="4">
    <w:abstractNumId w:val="30"/>
  </w:num>
  <w:num w:numId="5">
    <w:abstractNumId w:val="9"/>
  </w:num>
  <w:num w:numId="6">
    <w:abstractNumId w:val="46"/>
  </w:num>
  <w:num w:numId="7">
    <w:abstractNumId w:val="36"/>
  </w:num>
  <w:num w:numId="8">
    <w:abstractNumId w:val="27"/>
  </w:num>
  <w:num w:numId="9">
    <w:abstractNumId w:val="1"/>
  </w:num>
  <w:num w:numId="10">
    <w:abstractNumId w:val="44"/>
  </w:num>
  <w:num w:numId="11">
    <w:abstractNumId w:val="7"/>
  </w:num>
  <w:num w:numId="12">
    <w:abstractNumId w:val="34"/>
  </w:num>
  <w:num w:numId="13">
    <w:abstractNumId w:val="47"/>
  </w:num>
  <w:num w:numId="14">
    <w:abstractNumId w:val="18"/>
  </w:num>
  <w:num w:numId="15">
    <w:abstractNumId w:val="23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2"/>
  </w:num>
  <w:num w:numId="20">
    <w:abstractNumId w:val="40"/>
  </w:num>
  <w:num w:numId="21">
    <w:abstractNumId w:val="37"/>
  </w:num>
  <w:num w:numId="22">
    <w:abstractNumId w:val="32"/>
  </w:num>
  <w:num w:numId="23">
    <w:abstractNumId w:val="38"/>
  </w:num>
  <w:num w:numId="24">
    <w:abstractNumId w:val="20"/>
  </w:num>
  <w:num w:numId="25">
    <w:abstractNumId w:val="8"/>
  </w:num>
  <w:num w:numId="26">
    <w:abstractNumId w:val="10"/>
  </w:num>
  <w:num w:numId="27">
    <w:abstractNumId w:val="35"/>
  </w:num>
  <w:num w:numId="28">
    <w:abstractNumId w:val="49"/>
  </w:num>
  <w:num w:numId="29">
    <w:abstractNumId w:val="16"/>
  </w:num>
  <w:num w:numId="30">
    <w:abstractNumId w:val="33"/>
  </w:num>
  <w:num w:numId="31">
    <w:abstractNumId w:val="6"/>
  </w:num>
  <w:num w:numId="32">
    <w:abstractNumId w:val="31"/>
  </w:num>
  <w:num w:numId="33">
    <w:abstractNumId w:val="25"/>
  </w:num>
  <w:num w:numId="34">
    <w:abstractNumId w:val="28"/>
  </w:num>
  <w:num w:numId="35">
    <w:abstractNumId w:val="5"/>
  </w:num>
  <w:num w:numId="36">
    <w:abstractNumId w:val="48"/>
  </w:num>
  <w:num w:numId="37">
    <w:abstractNumId w:val="4"/>
  </w:num>
  <w:num w:numId="38">
    <w:abstractNumId w:val="13"/>
  </w:num>
  <w:num w:numId="39">
    <w:abstractNumId w:val="15"/>
  </w:num>
  <w:num w:numId="40">
    <w:abstractNumId w:val="24"/>
  </w:num>
  <w:num w:numId="41">
    <w:abstractNumId w:val="21"/>
  </w:num>
  <w:num w:numId="42">
    <w:abstractNumId w:val="43"/>
  </w:num>
  <w:num w:numId="43">
    <w:abstractNumId w:val="39"/>
  </w:num>
  <w:num w:numId="44">
    <w:abstractNumId w:val="26"/>
  </w:num>
  <w:num w:numId="45">
    <w:abstractNumId w:val="41"/>
  </w:num>
  <w:num w:numId="46">
    <w:abstractNumId w:val="17"/>
  </w:num>
  <w:num w:numId="47">
    <w:abstractNumId w:val="2"/>
  </w:num>
  <w:num w:numId="48">
    <w:abstractNumId w:val="29"/>
  </w:num>
  <w:num w:numId="49">
    <w:abstractNumId w:val="45"/>
  </w:num>
  <w:num w:numId="50">
    <w:abstractNumId w:val="12"/>
  </w:num>
  <w:num w:numId="51">
    <w:abstractNumId w:val="14"/>
  </w:num>
  <w:num w:numId="52">
    <w:abstractNumId w:val="42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387F"/>
    <w:rsid w:val="00127B24"/>
    <w:rsid w:val="001354EB"/>
    <w:rsid w:val="0013708E"/>
    <w:rsid w:val="00137704"/>
    <w:rsid w:val="00141C35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5A8D"/>
    <w:rsid w:val="0039130C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4189"/>
    <w:rsid w:val="004012FD"/>
    <w:rsid w:val="004018D1"/>
    <w:rsid w:val="00402089"/>
    <w:rsid w:val="004022DE"/>
    <w:rsid w:val="0040545C"/>
    <w:rsid w:val="00407E29"/>
    <w:rsid w:val="004115E9"/>
    <w:rsid w:val="00416ABB"/>
    <w:rsid w:val="004339B8"/>
    <w:rsid w:val="004339C3"/>
    <w:rsid w:val="00436B33"/>
    <w:rsid w:val="00442D50"/>
    <w:rsid w:val="004457F3"/>
    <w:rsid w:val="004542DC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D4450"/>
    <w:rsid w:val="004E1897"/>
    <w:rsid w:val="00512438"/>
    <w:rsid w:val="00517A01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D0680"/>
    <w:rsid w:val="006D2548"/>
    <w:rsid w:val="006D3D4A"/>
    <w:rsid w:val="006D4E6B"/>
    <w:rsid w:val="006D54BC"/>
    <w:rsid w:val="006E35FB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CE8"/>
    <w:rsid w:val="007A629C"/>
    <w:rsid w:val="007A69A4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560C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A2531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7068"/>
    <w:rsid w:val="00BB4180"/>
    <w:rsid w:val="00BC146F"/>
    <w:rsid w:val="00BC7267"/>
    <w:rsid w:val="00BD3FA9"/>
    <w:rsid w:val="00BD4CC5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62615"/>
    <w:rsid w:val="00C754DE"/>
    <w:rsid w:val="00CA281F"/>
    <w:rsid w:val="00CB2F43"/>
    <w:rsid w:val="00CB3D35"/>
    <w:rsid w:val="00CD554A"/>
    <w:rsid w:val="00CE641E"/>
    <w:rsid w:val="00CF0230"/>
    <w:rsid w:val="00CF20DA"/>
    <w:rsid w:val="00D01BF6"/>
    <w:rsid w:val="00D04D41"/>
    <w:rsid w:val="00D11C6E"/>
    <w:rsid w:val="00D2438F"/>
    <w:rsid w:val="00D31307"/>
    <w:rsid w:val="00D36A3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B35B7"/>
    <w:rsid w:val="00DC42EB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4BE5"/>
    <w:rsid w:val="00E911C9"/>
    <w:rsid w:val="00EA0CC6"/>
    <w:rsid w:val="00EA2B44"/>
    <w:rsid w:val="00EB641E"/>
    <w:rsid w:val="00EC317F"/>
    <w:rsid w:val="00EC4F3A"/>
    <w:rsid w:val="00EC6008"/>
    <w:rsid w:val="00ED44F1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CE28-FF2B-4C4E-A571-164F1A52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2094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7</cp:revision>
  <cp:lastPrinted>2022-07-04T09:52:00Z</cp:lastPrinted>
  <dcterms:created xsi:type="dcterms:W3CDTF">2022-11-09T06:57:00Z</dcterms:created>
  <dcterms:modified xsi:type="dcterms:W3CDTF">2022-12-01T07:20:00Z</dcterms:modified>
</cp:coreProperties>
</file>