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349C0A" w14:textId="541D2CAA" w:rsidR="0082705B" w:rsidRPr="00167B48" w:rsidRDefault="0082705B" w:rsidP="00167B48">
      <w:pPr>
        <w:spacing w:after="0" w:line="319" w:lineRule="auto"/>
        <w:jc w:val="right"/>
        <w:rPr>
          <w:rFonts w:cstheme="minorHAnsi"/>
        </w:rPr>
      </w:pPr>
      <w:r w:rsidRPr="00167B48">
        <w:rPr>
          <w:rFonts w:cstheme="minorHAnsi"/>
        </w:rPr>
        <w:t xml:space="preserve">Dopiewo, dnia </w:t>
      </w:r>
      <w:r w:rsidR="00C50B4A">
        <w:rPr>
          <w:rFonts w:cstheme="minorHAnsi"/>
        </w:rPr>
        <w:t>29</w:t>
      </w:r>
      <w:r w:rsidRPr="00167B48">
        <w:rPr>
          <w:rFonts w:cstheme="minorHAnsi"/>
        </w:rPr>
        <w:t xml:space="preserve"> stycznia  2025 r.</w:t>
      </w:r>
    </w:p>
    <w:p w14:paraId="22530EEA" w14:textId="77777777" w:rsidR="0082705B" w:rsidRPr="00167B48" w:rsidRDefault="0082705B" w:rsidP="00167B48">
      <w:pPr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ROA.271.37.2024</w:t>
      </w:r>
    </w:p>
    <w:p w14:paraId="676FF455" w14:textId="77777777" w:rsidR="0082705B" w:rsidRPr="00167B48" w:rsidRDefault="0082705B" w:rsidP="00167B48">
      <w:pPr>
        <w:spacing w:after="0" w:line="319" w:lineRule="auto"/>
        <w:jc w:val="both"/>
        <w:rPr>
          <w:rFonts w:cstheme="minorHAnsi"/>
          <w:b/>
          <w:bCs/>
        </w:rPr>
      </w:pPr>
    </w:p>
    <w:p w14:paraId="4CFD4C1A" w14:textId="77777777" w:rsidR="0082705B" w:rsidRPr="00167B48" w:rsidRDefault="0082705B" w:rsidP="00167B48">
      <w:pPr>
        <w:spacing w:after="0" w:line="319" w:lineRule="auto"/>
        <w:jc w:val="right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Do wszystkich uczestników postępowania</w:t>
      </w:r>
    </w:p>
    <w:p w14:paraId="2C5D5883" w14:textId="77777777" w:rsidR="0082705B" w:rsidRPr="00167B48" w:rsidRDefault="0082705B" w:rsidP="00167B48">
      <w:pPr>
        <w:spacing w:after="0" w:line="319" w:lineRule="auto"/>
        <w:jc w:val="both"/>
        <w:rPr>
          <w:rFonts w:cstheme="minorHAnsi"/>
          <w:b/>
          <w:bCs/>
        </w:rPr>
      </w:pPr>
    </w:p>
    <w:p w14:paraId="141975FB" w14:textId="77777777" w:rsidR="0082705B" w:rsidRPr="00167B48" w:rsidRDefault="0082705B" w:rsidP="00167B48">
      <w:pPr>
        <w:spacing w:after="0" w:line="319" w:lineRule="auto"/>
        <w:jc w:val="both"/>
        <w:rPr>
          <w:rFonts w:eastAsia="Calibri" w:cstheme="minorHAnsi"/>
          <w:b/>
          <w:bCs/>
          <w:kern w:val="3"/>
        </w:rPr>
      </w:pPr>
      <w:r w:rsidRPr="00167B48">
        <w:rPr>
          <w:rFonts w:cstheme="minorHAnsi"/>
        </w:rPr>
        <w:t xml:space="preserve">Dotyczy: postępowania o udzielenie zamówienia publicznego pn. </w:t>
      </w:r>
      <w:r w:rsidRPr="00167B48">
        <w:rPr>
          <w:rFonts w:cstheme="minorHAnsi"/>
          <w:b/>
          <w:bCs/>
        </w:rPr>
        <w:t>„</w:t>
      </w:r>
      <w:r w:rsidRPr="00167B48">
        <w:rPr>
          <w:rFonts w:cstheme="minorHAnsi"/>
          <w:b/>
          <w:bCs/>
          <w:kern w:val="3"/>
        </w:rPr>
        <w:t>Budowa sali gimnastycznej przy Szkole Podstawowej w Dopiewcu”</w:t>
      </w:r>
    </w:p>
    <w:p w14:paraId="68FC478D" w14:textId="77777777" w:rsidR="007B2E0E" w:rsidRPr="00167B48" w:rsidRDefault="007B2E0E" w:rsidP="00167B48">
      <w:pPr>
        <w:spacing w:after="0" w:line="319" w:lineRule="auto"/>
        <w:jc w:val="both"/>
        <w:rPr>
          <w:rFonts w:eastAsia="Times New Roman" w:cstheme="minorHAnsi"/>
          <w:b/>
        </w:rPr>
      </w:pPr>
    </w:p>
    <w:p w14:paraId="3151E994" w14:textId="3EF301E3" w:rsidR="007B2E0E" w:rsidRPr="00167B48" w:rsidRDefault="007B2E0E" w:rsidP="00167B48">
      <w:pPr>
        <w:spacing w:after="0" w:line="319" w:lineRule="auto"/>
        <w:jc w:val="both"/>
        <w:rPr>
          <w:rFonts w:eastAsia="Times New Roman" w:cstheme="minorHAnsi"/>
          <w:bCs/>
        </w:rPr>
      </w:pPr>
      <w:r w:rsidRPr="00167B48">
        <w:rPr>
          <w:rFonts w:eastAsia="Times New Roman" w:cstheme="minorHAnsi"/>
          <w:b/>
        </w:rPr>
        <w:t>1.</w:t>
      </w:r>
      <w:r w:rsidRPr="00167B48">
        <w:rPr>
          <w:rFonts w:eastAsia="Times New Roman" w:cstheme="minorHAnsi"/>
          <w:bCs/>
        </w:rPr>
        <w:t xml:space="preserve"> Zamawiający informuje, że do niniejszego postępowania wpłynął wniosek o wyjaśnienie treści SWZ. Poniżej przekazujemy stosowne wyjaśnienia, oraz wcześniejsze brakujące odpowiedzi, które stanowią integralną cześć SWZ.</w:t>
      </w:r>
    </w:p>
    <w:p w14:paraId="672DA87C" w14:textId="0ABD718D" w:rsidR="00B174A3" w:rsidRPr="00167B48" w:rsidRDefault="0082705B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167B48">
        <w:rPr>
          <w:rFonts w:eastAsia="Times New Roman" w:cstheme="minorHAnsi"/>
          <w:kern w:val="0"/>
          <w:lang w:eastAsia="pl-PL"/>
          <w14:ligatures w14:val="none"/>
        </w:rPr>
        <w:br/>
      </w:r>
      <w:r w:rsidR="00B174A3" w:rsidRPr="00167B48">
        <w:rPr>
          <w:rFonts w:cstheme="minorHAnsi"/>
          <w:b/>
          <w:bCs/>
          <w:kern w:val="0"/>
        </w:rPr>
        <w:t>Pytanie nr 56:</w:t>
      </w:r>
    </w:p>
    <w:p w14:paraId="25AA602B" w14:textId="2CB89E88" w:rsidR="00800864" w:rsidRPr="00167B48" w:rsidRDefault="0080086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167B48">
        <w:rPr>
          <w:rFonts w:cstheme="minorHAnsi"/>
          <w:kern w:val="0"/>
        </w:rPr>
        <w:t>W związku z ingerencją w istniejący budynek prosimy o informację, czy w zakresie prac</w:t>
      </w:r>
      <w:r w:rsidR="00E16023" w:rsidRPr="00167B48">
        <w:rPr>
          <w:rFonts w:cstheme="minorHAnsi"/>
          <w:kern w:val="0"/>
        </w:rPr>
        <w:t xml:space="preserve"> </w:t>
      </w:r>
      <w:r w:rsidRPr="00167B48">
        <w:rPr>
          <w:rFonts w:cstheme="minorHAnsi"/>
          <w:kern w:val="0"/>
        </w:rPr>
        <w:t>należy uwzględnić roboty demontażowe wielobranżowe. Prosimy o określenie rodzaju instalacji, które</w:t>
      </w:r>
      <w:r w:rsidR="00E16023" w:rsidRPr="00167B48">
        <w:rPr>
          <w:rFonts w:cstheme="minorHAnsi"/>
          <w:kern w:val="0"/>
        </w:rPr>
        <w:t xml:space="preserve"> </w:t>
      </w:r>
      <w:r w:rsidRPr="00167B48">
        <w:rPr>
          <w:rFonts w:cstheme="minorHAnsi"/>
          <w:kern w:val="0"/>
        </w:rPr>
        <w:t>będą podlegały przebudowie wraz ze szczegółowym określeniem zakresu tych prac.</w:t>
      </w:r>
    </w:p>
    <w:p w14:paraId="28FBB8C3" w14:textId="0C50A38C" w:rsidR="00070A18" w:rsidRPr="00167B48" w:rsidRDefault="00B174A3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Odpowiedź:</w:t>
      </w:r>
      <w:r w:rsidR="0031055F" w:rsidRPr="00167B48">
        <w:rPr>
          <w:rFonts w:cstheme="minorHAnsi"/>
          <w:b/>
          <w:bCs/>
        </w:rPr>
        <w:t xml:space="preserve"> Należy uwzględnić w ofercie roboty demontażowe wielobranżowe. </w:t>
      </w:r>
      <w:r w:rsidR="00AB05C0" w:rsidRPr="00167B48">
        <w:rPr>
          <w:rFonts w:cstheme="minorHAnsi"/>
          <w:b/>
          <w:bCs/>
        </w:rPr>
        <w:t>W związku z </w:t>
      </w:r>
      <w:r w:rsidR="00070A18" w:rsidRPr="00167B48">
        <w:rPr>
          <w:rFonts w:cstheme="minorHAnsi"/>
          <w:b/>
          <w:bCs/>
        </w:rPr>
        <w:t>ingerencją w istniejący budynek należy przewidzieć przebudowę jednej studni kanalizacji sanitarnej w miejscu łącznika oraz rozebranie i odtworzenie posadzki w miejscu wyjścia zimnej wody do rozbudowy.</w:t>
      </w:r>
      <w:r w:rsidR="00070A18" w:rsidRPr="00167B48">
        <w:rPr>
          <w:rFonts w:cstheme="minorHAnsi"/>
          <w:i/>
          <w:iCs/>
          <w:shd w:val="clear" w:color="auto" w:fill="AFD095"/>
        </w:rPr>
        <w:t xml:space="preserve"> </w:t>
      </w:r>
    </w:p>
    <w:p w14:paraId="1B67C4EE" w14:textId="58D8E25A" w:rsidR="00AB05C0" w:rsidRPr="00167B48" w:rsidRDefault="00070A18" w:rsidP="00167B48">
      <w:pPr>
        <w:pStyle w:val="Tekstpodstawowy"/>
        <w:spacing w:after="0" w:line="319" w:lineRule="auto"/>
        <w:jc w:val="both"/>
        <w:rPr>
          <w:rFonts w:asciiTheme="minorHAnsi" w:eastAsiaTheme="minorHAnsi" w:hAnsiTheme="minorHAnsi" w:cstheme="minorHAnsi"/>
          <w:b/>
          <w:bCs/>
          <w14:ligatures w14:val="standardContextual"/>
        </w:rPr>
      </w:pPr>
      <w:r w:rsidRPr="00167B48">
        <w:rPr>
          <w:rFonts w:asciiTheme="minorHAnsi" w:eastAsiaTheme="minorHAnsi" w:hAnsiTheme="minorHAnsi" w:cstheme="minorHAnsi"/>
          <w:b/>
          <w:bCs/>
          <w14:ligatures w14:val="standardContextual"/>
        </w:rPr>
        <w:t>Wszystkie istniejące urządzenia</w:t>
      </w:r>
      <w:r w:rsidR="00AB05C0" w:rsidRPr="00167B48">
        <w:rPr>
          <w:rFonts w:asciiTheme="minorHAnsi" w:eastAsiaTheme="minorHAnsi" w:hAnsiTheme="minorHAnsi" w:cstheme="minorHAnsi"/>
          <w:b/>
          <w:bCs/>
          <w14:ligatures w14:val="standardContextual"/>
        </w:rPr>
        <w:t xml:space="preserve"> instalacji elektrycznej zlokalizowane</w:t>
      </w:r>
      <w:r w:rsidRPr="00167B48">
        <w:rPr>
          <w:rFonts w:asciiTheme="minorHAnsi" w:eastAsiaTheme="minorHAnsi" w:hAnsiTheme="minorHAnsi" w:cstheme="minorHAnsi"/>
          <w:b/>
          <w:bCs/>
          <w14:ligatures w14:val="standardContextual"/>
        </w:rPr>
        <w:t xml:space="preserve"> na zewnątrz</w:t>
      </w:r>
      <w:r w:rsidR="00AB05C0" w:rsidRPr="00167B48">
        <w:rPr>
          <w:rFonts w:asciiTheme="minorHAnsi" w:eastAsiaTheme="minorHAnsi" w:hAnsiTheme="minorHAnsi" w:cstheme="minorHAnsi"/>
          <w:b/>
          <w:bCs/>
          <w14:ligatures w14:val="standardContextual"/>
        </w:rPr>
        <w:t>, które kolidują z </w:t>
      </w:r>
      <w:r w:rsidRPr="00167B48">
        <w:rPr>
          <w:rFonts w:asciiTheme="minorHAnsi" w:eastAsiaTheme="minorHAnsi" w:hAnsiTheme="minorHAnsi" w:cstheme="minorHAnsi"/>
          <w:b/>
          <w:bCs/>
          <w14:ligatures w14:val="standardContextual"/>
        </w:rPr>
        <w:t xml:space="preserve">budową tj. głośnik, kamera, oprawa awaryjna należy zdemontować. Po wybudowaniu nowego obiektu należy wykonać następujące czynności: </w:t>
      </w:r>
    </w:p>
    <w:p w14:paraId="53EE7F6F" w14:textId="77777777" w:rsidR="00AB05C0" w:rsidRPr="00167B48" w:rsidRDefault="00070A18" w:rsidP="00167B48">
      <w:pPr>
        <w:pStyle w:val="Tekstpodstawowy"/>
        <w:numPr>
          <w:ilvl w:val="0"/>
          <w:numId w:val="3"/>
        </w:numPr>
        <w:spacing w:after="0" w:line="319" w:lineRule="auto"/>
        <w:jc w:val="both"/>
        <w:rPr>
          <w:rFonts w:asciiTheme="minorHAnsi" w:eastAsiaTheme="minorHAnsi" w:hAnsiTheme="minorHAnsi" w:cstheme="minorHAnsi"/>
          <w:b/>
          <w:bCs/>
          <w14:ligatures w14:val="standardContextual"/>
        </w:rPr>
      </w:pPr>
      <w:r w:rsidRPr="00167B48">
        <w:rPr>
          <w:rFonts w:asciiTheme="minorHAnsi" w:eastAsiaTheme="minorHAnsi" w:hAnsiTheme="minorHAnsi" w:cstheme="minorHAnsi"/>
          <w:b/>
          <w:bCs/>
          <w14:ligatures w14:val="standardContextual"/>
        </w:rPr>
        <w:t>Głośnik – należy ponownie</w:t>
      </w:r>
      <w:r w:rsidR="00AB05C0" w:rsidRPr="00167B48">
        <w:rPr>
          <w:rFonts w:asciiTheme="minorHAnsi" w:eastAsiaTheme="minorHAnsi" w:hAnsiTheme="minorHAnsi" w:cstheme="minorHAnsi"/>
          <w:b/>
          <w:bCs/>
          <w14:ligatures w14:val="standardContextual"/>
        </w:rPr>
        <w:t xml:space="preserve"> zamontować na zewnątrz budynku </w:t>
      </w:r>
      <w:r w:rsidRPr="00167B48">
        <w:rPr>
          <w:rFonts w:asciiTheme="minorHAnsi" w:eastAsiaTheme="minorHAnsi" w:hAnsiTheme="minorHAnsi" w:cstheme="minorHAnsi"/>
          <w:b/>
          <w:bCs/>
          <w14:ligatures w14:val="standardContextual"/>
        </w:rPr>
        <w:t xml:space="preserve"> poza nowym łącznikiem</w:t>
      </w:r>
      <w:r w:rsidR="00AB05C0" w:rsidRPr="00167B48">
        <w:rPr>
          <w:rFonts w:asciiTheme="minorHAnsi" w:eastAsiaTheme="minorHAnsi" w:hAnsiTheme="minorHAnsi" w:cstheme="minorHAnsi"/>
          <w:b/>
          <w:bCs/>
          <w14:ligatures w14:val="standardContextual"/>
        </w:rPr>
        <w:t>,</w:t>
      </w:r>
      <w:r w:rsidRPr="00167B48">
        <w:rPr>
          <w:rFonts w:asciiTheme="minorHAnsi" w:eastAsiaTheme="minorHAnsi" w:hAnsiTheme="minorHAnsi" w:cstheme="minorHAnsi"/>
          <w:b/>
          <w:bCs/>
          <w14:ligatures w14:val="standardContextual"/>
        </w:rPr>
        <w:t xml:space="preserve"> </w:t>
      </w:r>
    </w:p>
    <w:p w14:paraId="0F27AC17" w14:textId="77777777" w:rsidR="00AB05C0" w:rsidRPr="00167B48" w:rsidRDefault="00070A18" w:rsidP="00167B48">
      <w:pPr>
        <w:pStyle w:val="Tekstpodstawowy"/>
        <w:numPr>
          <w:ilvl w:val="0"/>
          <w:numId w:val="3"/>
        </w:numPr>
        <w:spacing w:after="0" w:line="319" w:lineRule="auto"/>
        <w:jc w:val="both"/>
        <w:rPr>
          <w:rFonts w:asciiTheme="minorHAnsi" w:eastAsiaTheme="minorHAnsi" w:hAnsiTheme="minorHAnsi" w:cstheme="minorHAnsi"/>
          <w:b/>
          <w:bCs/>
          <w14:ligatures w14:val="standardContextual"/>
        </w:rPr>
      </w:pPr>
      <w:r w:rsidRPr="00167B48">
        <w:rPr>
          <w:rFonts w:asciiTheme="minorHAnsi" w:eastAsiaTheme="minorHAnsi" w:hAnsiTheme="minorHAnsi" w:cstheme="minorHAnsi"/>
          <w:b/>
          <w:bCs/>
          <w14:ligatures w14:val="standardContextual"/>
        </w:rPr>
        <w:t xml:space="preserve">Kamera – należy zamontować wewnątrz łącznika </w:t>
      </w:r>
    </w:p>
    <w:p w14:paraId="04888789" w14:textId="0001A522" w:rsidR="00070A18" w:rsidRPr="00167B48" w:rsidRDefault="00070A18" w:rsidP="00167B48">
      <w:pPr>
        <w:pStyle w:val="Tekstpodstawowy"/>
        <w:numPr>
          <w:ilvl w:val="0"/>
          <w:numId w:val="3"/>
        </w:numPr>
        <w:spacing w:after="0" w:line="319" w:lineRule="auto"/>
        <w:jc w:val="both"/>
        <w:rPr>
          <w:rFonts w:asciiTheme="minorHAnsi" w:eastAsiaTheme="minorHAnsi" w:hAnsiTheme="minorHAnsi" w:cstheme="minorHAnsi"/>
          <w:b/>
          <w:bCs/>
          <w14:ligatures w14:val="standardContextual"/>
        </w:rPr>
      </w:pPr>
      <w:r w:rsidRPr="00167B48">
        <w:rPr>
          <w:rFonts w:asciiTheme="minorHAnsi" w:eastAsiaTheme="minorHAnsi" w:hAnsiTheme="minorHAnsi" w:cstheme="minorHAnsi"/>
          <w:b/>
          <w:bCs/>
          <w14:ligatures w14:val="standardContextual"/>
        </w:rPr>
        <w:t>Zewnętrzna oprawa awaryjna – należy trwale zdemontować a istniejący obwód do oprawy zabezpieczyć puszką.</w:t>
      </w:r>
    </w:p>
    <w:p w14:paraId="74869090" w14:textId="77777777" w:rsidR="00B174A3" w:rsidRPr="00167B48" w:rsidRDefault="00B174A3" w:rsidP="00167B48">
      <w:pPr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005CA03C" w14:textId="3DCE3C83" w:rsidR="00B174A3" w:rsidRPr="00167B48" w:rsidRDefault="00B174A3" w:rsidP="00167B48">
      <w:pPr>
        <w:spacing w:after="0" w:line="319" w:lineRule="auto"/>
        <w:jc w:val="both"/>
        <w:rPr>
          <w:rFonts w:cstheme="minorHAnsi"/>
          <w:b/>
          <w:bCs/>
          <w:kern w:val="0"/>
        </w:rPr>
      </w:pPr>
      <w:r w:rsidRPr="00167B48">
        <w:rPr>
          <w:rFonts w:cstheme="minorHAnsi"/>
          <w:b/>
          <w:bCs/>
          <w:kern w:val="0"/>
        </w:rPr>
        <w:t>Pytanie nr 63:</w:t>
      </w:r>
    </w:p>
    <w:p w14:paraId="3BC14437" w14:textId="0293D078" w:rsidR="00800864" w:rsidRPr="00167B48" w:rsidRDefault="0080086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167B48">
        <w:rPr>
          <w:rFonts w:cstheme="minorHAnsi"/>
          <w:kern w:val="0"/>
        </w:rPr>
        <w:t>Czy w zakresie prac są do wykonania kolizje infrastruktury podziemnej na terenie rozbudowy</w:t>
      </w:r>
      <w:r w:rsidR="00804029" w:rsidRPr="00167B48">
        <w:rPr>
          <w:rFonts w:cstheme="minorHAnsi"/>
          <w:kern w:val="0"/>
        </w:rPr>
        <w:t xml:space="preserve"> </w:t>
      </w:r>
      <w:r w:rsidRPr="00167B48">
        <w:rPr>
          <w:rFonts w:cstheme="minorHAnsi"/>
          <w:kern w:val="0"/>
        </w:rPr>
        <w:t>istniejącego budynku o halę sportową?</w:t>
      </w:r>
    </w:p>
    <w:p w14:paraId="018E5249" w14:textId="6E9DE00D" w:rsidR="00070A18" w:rsidRPr="00167B48" w:rsidRDefault="00B174A3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Odpowiedź:</w:t>
      </w:r>
      <w:r w:rsidR="00FB5E6A" w:rsidRPr="00167B48">
        <w:rPr>
          <w:rFonts w:cstheme="minorHAnsi"/>
          <w:b/>
          <w:bCs/>
        </w:rPr>
        <w:t xml:space="preserve"> </w:t>
      </w:r>
      <w:r w:rsidR="00070A18" w:rsidRPr="00167B48">
        <w:rPr>
          <w:rFonts w:cstheme="minorHAnsi"/>
          <w:b/>
          <w:bCs/>
        </w:rPr>
        <w:t>W zakresie kolizji sanitarnych jest przebudowa kanalizacji deszczowej zgodnie z PZT</w:t>
      </w:r>
      <w:r w:rsidR="00CC0112" w:rsidRPr="00167B48">
        <w:rPr>
          <w:rFonts w:cstheme="minorHAnsi"/>
          <w:b/>
          <w:bCs/>
        </w:rPr>
        <w:t xml:space="preserve"> i </w:t>
      </w:r>
      <w:r w:rsidR="00AB05C0" w:rsidRPr="00167B48">
        <w:rPr>
          <w:rFonts w:cstheme="minorHAnsi"/>
          <w:b/>
          <w:bCs/>
        </w:rPr>
        <w:t>odpowiedzią na pytanie nr 47</w:t>
      </w:r>
      <w:r w:rsidR="00070A18" w:rsidRPr="00167B48">
        <w:rPr>
          <w:rFonts w:cstheme="minorHAnsi"/>
          <w:b/>
          <w:bCs/>
        </w:rPr>
        <w:t xml:space="preserve"> </w:t>
      </w:r>
      <w:r w:rsidR="00AB05C0" w:rsidRPr="00167B48">
        <w:rPr>
          <w:rFonts w:cstheme="minorHAnsi"/>
          <w:b/>
          <w:bCs/>
        </w:rPr>
        <w:t>oraz</w:t>
      </w:r>
      <w:r w:rsidR="00070A18" w:rsidRPr="00167B48">
        <w:rPr>
          <w:rFonts w:cstheme="minorHAnsi"/>
          <w:b/>
          <w:bCs/>
        </w:rPr>
        <w:t xml:space="preserve"> przestawienie jednej studni kanalizacji sanitarnej przy łączniku. </w:t>
      </w:r>
    </w:p>
    <w:p w14:paraId="02B0A82D" w14:textId="0068C6DC" w:rsidR="00B174A3" w:rsidRPr="00167B48" w:rsidRDefault="00070A18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N</w:t>
      </w:r>
      <w:r w:rsidR="007B2E0E" w:rsidRPr="00167B48">
        <w:rPr>
          <w:rFonts w:cstheme="minorHAnsi"/>
          <w:b/>
          <w:bCs/>
        </w:rPr>
        <w:t xml:space="preserve">a </w:t>
      </w:r>
      <w:r w:rsidRPr="00167B48">
        <w:rPr>
          <w:rFonts w:cstheme="minorHAnsi"/>
          <w:b/>
          <w:bCs/>
        </w:rPr>
        <w:t xml:space="preserve"> planie PZT</w:t>
      </w:r>
      <w:r w:rsidR="00AB05C0" w:rsidRPr="00167B48">
        <w:rPr>
          <w:rFonts w:cstheme="minorHAnsi"/>
          <w:b/>
          <w:bCs/>
        </w:rPr>
        <w:t>, którego korektę niniejszym załączamy pod nazwą ‘IE - PZT.pdf aktualizacja 22.01.2024’</w:t>
      </w:r>
      <w:r w:rsidRPr="00167B48">
        <w:rPr>
          <w:rFonts w:cstheme="minorHAnsi"/>
          <w:b/>
          <w:bCs/>
        </w:rPr>
        <w:t xml:space="preserve"> znaczono</w:t>
      </w:r>
      <w:r w:rsidR="00CC0112" w:rsidRPr="00167B48">
        <w:rPr>
          <w:rFonts w:cstheme="minorHAnsi"/>
          <w:b/>
          <w:bCs/>
        </w:rPr>
        <w:t xml:space="preserve"> istniejące oprawy do demontażu</w:t>
      </w:r>
      <w:r w:rsidRPr="00167B48">
        <w:rPr>
          <w:rFonts w:cstheme="minorHAnsi"/>
          <w:b/>
          <w:bCs/>
        </w:rPr>
        <w:t xml:space="preserve"> oraz oprawy które należy przesunąć </w:t>
      </w:r>
      <w:r w:rsidR="00CC0112" w:rsidRPr="00167B48">
        <w:rPr>
          <w:rFonts w:cstheme="minorHAnsi"/>
          <w:b/>
          <w:bCs/>
        </w:rPr>
        <w:t>w związku z </w:t>
      </w:r>
      <w:r w:rsidRPr="00167B48">
        <w:rPr>
          <w:rFonts w:cstheme="minorHAnsi"/>
          <w:b/>
          <w:bCs/>
        </w:rPr>
        <w:t>prowadzonymi pracami budowlanymi. Pokazano również zmianę sposobu zasilania słupów oświetleniowych. Istniejący kabel zasilający budynek należy unieczynnić w związku z koniecznością doprowadzenia nowego zasilania.</w:t>
      </w:r>
    </w:p>
    <w:p w14:paraId="6EFB9908" w14:textId="77777777" w:rsidR="00070A18" w:rsidRPr="00167B48" w:rsidRDefault="00070A18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</w:p>
    <w:p w14:paraId="7AB8AC8B" w14:textId="77777777" w:rsidR="00167B48" w:rsidRDefault="00167B48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</w:p>
    <w:p w14:paraId="71905294" w14:textId="212A9C3E" w:rsidR="00600B49" w:rsidRPr="00167B48" w:rsidRDefault="00600B49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lastRenderedPageBreak/>
        <w:t>Pytanie nr 67:</w:t>
      </w:r>
    </w:p>
    <w:p w14:paraId="27F740FF" w14:textId="77777777" w:rsidR="005F6FC6" w:rsidRPr="00167B48" w:rsidRDefault="005F6FC6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Proszę o podanie typu rozdzielaczy do ogrzewania podłogowego. Czy rozdzielacze mają być z układem pompowym czy bez.</w:t>
      </w:r>
    </w:p>
    <w:p w14:paraId="79476BB2" w14:textId="4ADAE3F0" w:rsidR="005F6FC6" w:rsidRPr="00167B48" w:rsidRDefault="005F6FC6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 xml:space="preserve">W opisie budowy są rozdzielacze mosiężne </w:t>
      </w:r>
      <w:r w:rsidR="00804029" w:rsidRPr="00167B48">
        <w:rPr>
          <w:rFonts w:cstheme="minorHAnsi"/>
        </w:rPr>
        <w:t>z przepływomierzami natomiast w</w:t>
      </w:r>
      <w:r w:rsidRPr="00167B48">
        <w:rPr>
          <w:rFonts w:cstheme="minorHAnsi"/>
        </w:rPr>
        <w:t xml:space="preserve"> przedmiarze są ogrzewacze z układem pompowym Lp.196 x 14 szt.</w:t>
      </w:r>
    </w:p>
    <w:p w14:paraId="35B2E753" w14:textId="64F8022C" w:rsidR="00600B49" w:rsidRPr="00167B48" w:rsidRDefault="005F6FC6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Czy doprowadzenie zasilania 230V do rozdzi</w:t>
      </w:r>
      <w:r w:rsidR="00804029" w:rsidRPr="00167B48">
        <w:rPr>
          <w:rFonts w:cstheme="minorHAnsi"/>
        </w:rPr>
        <w:t>e</w:t>
      </w:r>
      <w:r w:rsidRPr="00167B48">
        <w:rPr>
          <w:rFonts w:cstheme="minorHAnsi"/>
        </w:rPr>
        <w:t>l</w:t>
      </w:r>
      <w:r w:rsidR="00804029" w:rsidRPr="00167B48">
        <w:rPr>
          <w:rFonts w:cstheme="minorHAnsi"/>
        </w:rPr>
        <w:t>a</w:t>
      </w:r>
      <w:r w:rsidRPr="00167B48">
        <w:rPr>
          <w:rFonts w:cstheme="minorHAnsi"/>
        </w:rPr>
        <w:t>czy z układem pompowym jest po stronie branży</w:t>
      </w:r>
      <w:r w:rsidRPr="00167B48">
        <w:rPr>
          <w:rFonts w:cstheme="minorHAnsi"/>
        </w:rPr>
        <w:br/>
        <w:t>elektrycznej czy sanit</w:t>
      </w:r>
      <w:r w:rsidR="00804029" w:rsidRPr="00167B48">
        <w:rPr>
          <w:rFonts w:cstheme="minorHAnsi"/>
        </w:rPr>
        <w:t>ar</w:t>
      </w:r>
      <w:r w:rsidRPr="00167B48">
        <w:rPr>
          <w:rFonts w:cstheme="minorHAnsi"/>
        </w:rPr>
        <w:t>nej?</w:t>
      </w:r>
    </w:p>
    <w:p w14:paraId="6A479582" w14:textId="00D956E9" w:rsidR="00070A18" w:rsidRPr="00167B48" w:rsidRDefault="005F6FC6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Odpowiedź:</w:t>
      </w:r>
      <w:r w:rsidR="00FB5E6A" w:rsidRPr="00167B48">
        <w:rPr>
          <w:rFonts w:cstheme="minorHAnsi"/>
          <w:b/>
          <w:bCs/>
        </w:rPr>
        <w:t xml:space="preserve"> </w:t>
      </w:r>
      <w:r w:rsidR="00070A18" w:rsidRPr="00167B48">
        <w:rPr>
          <w:rFonts w:cstheme="minorHAnsi"/>
          <w:b/>
          <w:bCs/>
        </w:rPr>
        <w:t>Rozdzielacze mają być typowe do ogrzewania podłogowego z układem pompowym. Doprowadzenie zasilania 230V po stronie branży sanitarnej.</w:t>
      </w:r>
    </w:p>
    <w:p w14:paraId="662AD7F1" w14:textId="77777777" w:rsidR="005F6FC6" w:rsidRPr="00167B48" w:rsidRDefault="005F6FC6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</w:p>
    <w:p w14:paraId="04ECD579" w14:textId="0D1E3ABD" w:rsidR="005F6FC6" w:rsidRPr="00167B48" w:rsidRDefault="005F6FC6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Pytanie nr 68:</w:t>
      </w:r>
    </w:p>
    <w:p w14:paraId="25B2A479" w14:textId="77777777" w:rsidR="005F6FC6" w:rsidRPr="00167B48" w:rsidRDefault="005F6FC6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Pompa C.O. do ogrzewania podłogowego na ok.1 400,00m2, dla 14 szt. rozdzielaczy i ok. 5 000,00 mb rury pex 16x2,0mm</w:t>
      </w:r>
    </w:p>
    <w:p w14:paraId="1E9C3054" w14:textId="33F39B48" w:rsidR="005F6FC6" w:rsidRPr="00167B48" w:rsidRDefault="00804029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Na rysunku IS-08 sche</w:t>
      </w:r>
      <w:r w:rsidR="005F6FC6" w:rsidRPr="00167B48">
        <w:rPr>
          <w:rFonts w:cstheme="minorHAnsi"/>
        </w:rPr>
        <w:t>mat kotłowni jest pompa c.o. P1 o parametrach Q=6,35m3/h, H=31,4kPA</w:t>
      </w:r>
      <w:r w:rsidR="005F6FC6" w:rsidRPr="00167B48">
        <w:rPr>
          <w:rFonts w:cstheme="minorHAnsi"/>
        </w:rPr>
        <w:br/>
        <w:t>na podstawie których Grundfoss dobrał następujący typ pompy - MAGNA1  25-80 180 1x230V PN10 biegowa 1"</w:t>
      </w:r>
    </w:p>
    <w:p w14:paraId="76CB1EA1" w14:textId="243578BA" w:rsidR="005F6FC6" w:rsidRPr="00167B48" w:rsidRDefault="005F6FC6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Proszę o potwierdzenie czy jest to wystarczająca pompa C.O. zgodna z przyjętymi parametrami technicznymi. (dokumenty pompy w załączniku)</w:t>
      </w:r>
    </w:p>
    <w:p w14:paraId="76BDA21A" w14:textId="6C832098" w:rsidR="005F6FC6" w:rsidRPr="00167B48" w:rsidRDefault="005F6FC6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Jeżeli pompa ma tłoczyć czynnik grzewczy tylko do rozdzielaczy to jest wystarczający typ pompy i wtedy rozdzi</w:t>
      </w:r>
      <w:r w:rsidR="00804029" w:rsidRPr="00167B48">
        <w:rPr>
          <w:rFonts w:cstheme="minorHAnsi"/>
        </w:rPr>
        <w:t>e</w:t>
      </w:r>
      <w:r w:rsidRPr="00167B48">
        <w:rPr>
          <w:rFonts w:cstheme="minorHAnsi"/>
        </w:rPr>
        <w:t>lacze z grupą pompową a jeżeli rozdzielacze bez grupy pompowej i pompa w ko</w:t>
      </w:r>
      <w:r w:rsidR="00804029" w:rsidRPr="00167B48">
        <w:rPr>
          <w:rFonts w:cstheme="minorHAnsi"/>
        </w:rPr>
        <w:t>tłowni ma tłoczyć czynnik grzew</w:t>
      </w:r>
      <w:r w:rsidRPr="00167B48">
        <w:rPr>
          <w:rFonts w:cstheme="minorHAnsi"/>
        </w:rPr>
        <w:t xml:space="preserve">czy w </w:t>
      </w:r>
      <w:r w:rsidR="00804029" w:rsidRPr="00167B48">
        <w:rPr>
          <w:rFonts w:cstheme="minorHAnsi"/>
        </w:rPr>
        <w:t>ukł</w:t>
      </w:r>
      <w:r w:rsidRPr="00167B48">
        <w:rPr>
          <w:rFonts w:cstheme="minorHAnsi"/>
        </w:rPr>
        <w:t>adzie ogrzewania podłogowego to ten typ pompy jest niewystarczający.</w:t>
      </w:r>
      <w:r w:rsidRPr="00167B48">
        <w:rPr>
          <w:rFonts w:cstheme="minorHAnsi"/>
        </w:rPr>
        <w:br/>
        <w:t>Proszę o podanie które rozwiązanie należy przyjąć w wycenie instalacji grzewczej/podłogowej?</w:t>
      </w:r>
    </w:p>
    <w:p w14:paraId="08554631" w14:textId="6C441BEA" w:rsidR="003E038A" w:rsidRPr="00167B48" w:rsidRDefault="005F6FC6" w:rsidP="00167B48">
      <w:pPr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Odpowiedź:</w:t>
      </w:r>
      <w:r w:rsidR="00FB5E6A" w:rsidRPr="00167B48">
        <w:rPr>
          <w:rFonts w:cstheme="minorHAnsi"/>
          <w:b/>
          <w:bCs/>
        </w:rPr>
        <w:t xml:space="preserve"> </w:t>
      </w:r>
      <w:r w:rsidR="003E038A" w:rsidRPr="00167B48">
        <w:rPr>
          <w:rFonts w:cstheme="minorHAnsi"/>
          <w:b/>
        </w:rPr>
        <w:t>Pompa obiegowa  musi spełniać wymagania z rysunku IS-08. P1 - pompa obiegu c.o. Q=6,35m³/h, H=31,4kPa. Ponadto p</w:t>
      </w:r>
      <w:r w:rsidR="00070A18" w:rsidRPr="00167B48">
        <w:rPr>
          <w:rFonts w:cstheme="minorHAnsi"/>
          <w:b/>
          <w:bCs/>
        </w:rPr>
        <w:t>ompa ma tłoczyć do rozdz</w:t>
      </w:r>
      <w:r w:rsidR="003E038A" w:rsidRPr="00167B48">
        <w:rPr>
          <w:rFonts w:cstheme="minorHAnsi"/>
          <w:b/>
          <w:bCs/>
        </w:rPr>
        <w:t>ielaczy ogrzewania podłogowego.</w:t>
      </w:r>
      <w:r w:rsidR="00070A18" w:rsidRPr="00167B48">
        <w:rPr>
          <w:rFonts w:cstheme="minorHAnsi"/>
          <w:b/>
          <w:bCs/>
        </w:rPr>
        <w:t> Rozdzielacze mają być typowe do ogrzewania podłogowego z układem pompowym.</w:t>
      </w:r>
      <w:r w:rsidR="001D2BDD" w:rsidRPr="00167B48">
        <w:rPr>
          <w:rFonts w:cstheme="minorHAnsi"/>
          <w:b/>
          <w:bCs/>
        </w:rPr>
        <w:t xml:space="preserve"> </w:t>
      </w:r>
    </w:p>
    <w:p w14:paraId="78EE6A28" w14:textId="77777777" w:rsidR="00070A18" w:rsidRPr="00167B48" w:rsidRDefault="00070A18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</w:p>
    <w:p w14:paraId="5BD216BC" w14:textId="448556AF" w:rsidR="005F6FC6" w:rsidRPr="00167B48" w:rsidRDefault="005F6FC6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Pytanie nr 69:</w:t>
      </w:r>
    </w:p>
    <w:p w14:paraId="0FA74D64" w14:textId="77777777" w:rsidR="005F6FC6" w:rsidRPr="00167B48" w:rsidRDefault="005F6FC6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W projekcie jest uwzględniony zbiornik podziemny retrencyjny stalowy Hauraton AQUAFIX ZRS 60m3.</w:t>
      </w:r>
      <w:r w:rsidRPr="00167B48">
        <w:rPr>
          <w:rFonts w:cstheme="minorHAnsi"/>
        </w:rPr>
        <w:br/>
        <w:t>Czy można w ofercie przyjąć wbudownie 2 zbiorników betonowych 32m3 połączonych szeregowo z uwagi na różnicę cenową która między zbiornikiem stalowym a baterią 2 szt. zbiorników betonowych wynosi aż 50%, czyli zbiornik stalowy jest droży o połowę. Sam producent Hauarton zaproponował że dużo lepszym rozwiązaniem dla tej inwestycji jest montaż zbiorników betonowych z uwagi na poziom wód gruntowych na głębokości 1,10 - 1,60 m p.p.t. dla rzędnych 84,38 - 84,58 m n.p.m a i drugi czynnikiem istotnym jest o połowa mniejsza cena.</w:t>
      </w:r>
    </w:p>
    <w:p w14:paraId="51617E42" w14:textId="035A541B" w:rsidR="005F6FC6" w:rsidRPr="00167B48" w:rsidRDefault="005F6FC6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W załączniku rysunek zbiornika stalowego przyjętego w projekcie oraz alternatywa, rysunek zbiornika betonowego.</w:t>
      </w:r>
      <w:r w:rsidR="00E70B32" w:rsidRPr="00167B48">
        <w:rPr>
          <w:rFonts w:cstheme="minorHAnsi"/>
        </w:rPr>
        <w:t xml:space="preserve"> </w:t>
      </w:r>
    </w:p>
    <w:p w14:paraId="30CF0C88" w14:textId="15A22CF9" w:rsidR="00F276DD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Odpowiedź:</w:t>
      </w:r>
      <w:r w:rsidR="00FB5E6A" w:rsidRPr="00167B48">
        <w:rPr>
          <w:rFonts w:cstheme="minorHAnsi"/>
          <w:b/>
          <w:bCs/>
        </w:rPr>
        <w:t xml:space="preserve"> </w:t>
      </w:r>
      <w:r w:rsidR="006C1891" w:rsidRPr="00167B48">
        <w:rPr>
          <w:rFonts w:cstheme="minorHAnsi"/>
          <w:b/>
          <w:bCs/>
        </w:rPr>
        <w:t xml:space="preserve">Należy zastosować zbiornik PEHD zgodny z odpowiedziami na pytanie nr 40 i 44. </w:t>
      </w:r>
    </w:p>
    <w:p w14:paraId="1D83A432" w14:textId="77777777" w:rsidR="006C1891" w:rsidRPr="00167B48" w:rsidRDefault="006C1891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</w:p>
    <w:p w14:paraId="44ADC4B7" w14:textId="6C47FCEA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Pytanie nr 70:</w:t>
      </w:r>
    </w:p>
    <w:p w14:paraId="7E6FCE6B" w14:textId="77777777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W opisie PT (skan w załączniku) dla pomieszczeń 0.04, 0.07 i 0.11. na parterze czyli</w:t>
      </w:r>
      <w:r w:rsidRPr="00167B48">
        <w:rPr>
          <w:rFonts w:cstheme="minorHAnsi"/>
        </w:rPr>
        <w:br/>
        <w:t>toalety dla niepełnosprawnych są wyszczególnione baterie natryskowej podtynkowe.</w:t>
      </w:r>
    </w:p>
    <w:p w14:paraId="37153A41" w14:textId="45C5B275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lastRenderedPageBreak/>
        <w:t>- DELABIE Bateria Natryskowa Podtynkowa x 3 kpl. (łazienka bez barier);</w:t>
      </w:r>
    </w:p>
    <w:p w14:paraId="7F420CE9" w14:textId="6A9CDE39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słuchawka natryskowa Z1/2" 1-strumieniowa R100 Antyosadowa</w:t>
      </w:r>
    </w:p>
    <w:p w14:paraId="3AA3FD99" w14:textId="1F061D5B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wąż natrskowy silver PVC gładki zbrojony L-150cm</w:t>
      </w:r>
    </w:p>
    <w:p w14:paraId="22907AAE" w14:textId="48A0EE12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kolanko wypływowe ścienne ZZ1/2" H.33 do natrsysku</w:t>
      </w:r>
    </w:p>
    <w:p w14:paraId="1113DC38" w14:textId="60DA035A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przełącznik podtynkowy</w:t>
      </w:r>
    </w:p>
    <w:p w14:paraId="4AE42E35" w14:textId="26BF733B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wylewka natryskowa</w:t>
      </w:r>
    </w:p>
    <w:p w14:paraId="1F3CCC1B" w14:textId="19B4689E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zawór natrskowy</w:t>
      </w:r>
    </w:p>
    <w:p w14:paraId="0BB99BDB" w14:textId="391E2222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uchwyt na ssuwaki na słuchawkę natryskową chrom metal do poręczy Fi.25 i 32</w:t>
      </w:r>
    </w:p>
    <w:p w14:paraId="1898C6CD" w14:textId="4C5C1D47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Natomiast w na rysunkach IS-01 i IS-06 nie ma podejść wodno-kanalizacyjnych pod baterie podtynkowe i odpływ liniowy.</w:t>
      </w:r>
    </w:p>
    <w:p w14:paraId="04A29F6C" w14:textId="77777777" w:rsidR="00070A18" w:rsidRPr="00167B48" w:rsidRDefault="00070A18" w:rsidP="00167B48">
      <w:pPr>
        <w:spacing w:after="0" w:line="319" w:lineRule="auto"/>
        <w:jc w:val="both"/>
        <w:rPr>
          <w:rFonts w:cstheme="minorHAnsi"/>
          <w:b/>
          <w:bCs/>
          <w:i/>
          <w:iCs/>
          <w:bdr w:val="none" w:sz="0" w:space="0" w:color="000000"/>
          <w:shd w:val="clear" w:color="auto" w:fill="AFD095"/>
        </w:rPr>
      </w:pPr>
    </w:p>
    <w:p w14:paraId="11B6AF7F" w14:textId="1CE43F9F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W przedmiarze sanitranym w pozycjach są następujące niezgodnośći:</w:t>
      </w:r>
    </w:p>
    <w:p w14:paraId="212C452C" w14:textId="77777777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Lp.67 Baterie natryskowe/wannowe - 10 szt.</w:t>
      </w:r>
    </w:p>
    <w:p w14:paraId="09317047" w14:textId="0D8D911F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dla pomieszczeń 0.02 i 0.09 (umywalnie - 8 szt.) co z pozostałymi 2 szt. w przedmiarze ?</w:t>
      </w:r>
    </w:p>
    <w:p w14:paraId="30953865" w14:textId="0B05176D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brak 3 szt. baterii podtynkowych dla 0.04, 0.07 i 0.11 (toalety NPS) ?</w:t>
      </w:r>
    </w:p>
    <w:p w14:paraId="326000A6" w14:textId="5D6056CF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Lp.123 Montaż natrysku/wanny - 10 szt. ta sama sytuacja co w pozycji Lp.67</w:t>
      </w:r>
    </w:p>
    <w:p w14:paraId="7E66F340" w14:textId="53EF3577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dla pomieszczeń 0.02 i 0.09 (umywalnie - 8 szt.) co z pozostałymi 2 szt. w przedmiarze ?</w:t>
      </w:r>
    </w:p>
    <w:p w14:paraId="56ABBFE8" w14:textId="1AE2F026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brak 3 szt. baterii podtynkowych dla 0.04, 0.07 i 0.11 (toalety NPS) ?</w:t>
      </w:r>
    </w:p>
    <w:p w14:paraId="6B008224" w14:textId="0F239416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Lp.126 Odwodnienie liniowe łazienek - 8 szt.</w:t>
      </w:r>
    </w:p>
    <w:p w14:paraId="1141546E" w14:textId="70EAE066" w:rsidR="00070A18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dla pomieszczeń 0.02 i 0.09 (umywalnie - 8 szt.) natomiast brak dla 0.04, 0.0</w:t>
      </w:r>
      <w:r w:rsidR="00872EAA" w:rsidRPr="00167B48">
        <w:rPr>
          <w:rFonts w:cstheme="minorHAnsi"/>
        </w:rPr>
        <w:t>7 i 0.11 (toalety NPS - 3 szt.)</w:t>
      </w:r>
    </w:p>
    <w:p w14:paraId="0DF7954A" w14:textId="1250CC9E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br/>
        <w:t>Proszę o wyjaśnienie kwestii montażu baterii podtynkwych w tolaetach dla niepełnopsrawnych i odwodnieni linowych L-60cm dla wykładzin PVC.</w:t>
      </w:r>
    </w:p>
    <w:p w14:paraId="0BEBC216" w14:textId="77777777" w:rsidR="00070A18" w:rsidRPr="00167B48" w:rsidRDefault="00070A18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</w:p>
    <w:p w14:paraId="221DC16E" w14:textId="77777777" w:rsidR="000A328E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Proszę również o określenie ilości umywalek i baterri do montaż.</w:t>
      </w:r>
      <w:r w:rsidR="000A328E" w:rsidRPr="00167B48">
        <w:rPr>
          <w:rFonts w:cstheme="minorHAnsi"/>
        </w:rPr>
        <w:t xml:space="preserve"> </w:t>
      </w:r>
      <w:r w:rsidRPr="00167B48">
        <w:rPr>
          <w:rFonts w:cstheme="minorHAnsi"/>
        </w:rPr>
        <w:t>Są różnicę między specyfikacją materiałową w opisie PT a przedmiarem</w:t>
      </w:r>
    </w:p>
    <w:p w14:paraId="793E05AB" w14:textId="00532ACB" w:rsidR="000A328E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br/>
        <w:t>W opisie PT są wyszczególnione 23 szt. umywalek (3 typy umywalek) i</w:t>
      </w:r>
      <w:r w:rsidR="000A328E" w:rsidRPr="00167B48">
        <w:rPr>
          <w:rFonts w:cstheme="minorHAnsi"/>
        </w:rPr>
        <w:t xml:space="preserve"> </w:t>
      </w:r>
      <w:r w:rsidRPr="00167B48">
        <w:rPr>
          <w:rFonts w:cstheme="minorHAnsi"/>
        </w:rPr>
        <w:t>23 szt. baterii umywalkowych (1 typ baterii):</w:t>
      </w:r>
    </w:p>
    <w:p w14:paraId="1C6E0403" w14:textId="77777777" w:rsidR="000A328E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- ROCA Umywalka Podblatowa okręgła z przelewem 350mm x 16 szt.</w:t>
      </w:r>
    </w:p>
    <w:p w14:paraId="6A8EF696" w14:textId="35E8D98B" w:rsidR="000A328E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- ROCA DEBBA Umywalka Ścienna 55x44 z otworem i przelewem + półpostument x 3 kpl.</w:t>
      </w:r>
    </w:p>
    <w:p w14:paraId="78635498" w14:textId="40EE8B94" w:rsidR="000A328E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- DELABIE Umywalka ścienna L.785 zn otworem Fi.35cm MINERALCAST Dla NPS x 4 szt.</w:t>
      </w:r>
    </w:p>
    <w:p w14:paraId="4E5F37B4" w14:textId="1A6D7DB1" w:rsidR="000A328E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- DELABIE Bateria Mechaniczna do umywalki x 23 szt.</w:t>
      </w:r>
    </w:p>
    <w:p w14:paraId="18C1ACA7" w14:textId="77777777" w:rsidR="000A328E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br/>
        <w:t>Natomiast w przedmiarze sanitranym są ujęte 24 szt. umywalek i baterii umywalkowych</w:t>
      </w:r>
    </w:p>
    <w:p w14:paraId="50F9206A" w14:textId="5FB44FC0" w:rsidR="000A328E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Lp.64 Baterie umywalkowe stojące - 20 szt.</w:t>
      </w:r>
    </w:p>
    <w:p w14:paraId="1AEE5A03" w14:textId="299BF936" w:rsidR="000A328E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Lp.65 Baterie umywalkowe stojące dla noiepełnosprawncyh - 4 szt.</w:t>
      </w:r>
    </w:p>
    <w:p w14:paraId="286B987C" w14:textId="23646F5D" w:rsidR="000A328E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Lp.120 Umywalki pojedyncze porcelanowe wiszące na stelażu - 20 szt.</w:t>
      </w:r>
    </w:p>
    <w:p w14:paraId="2E33C29A" w14:textId="5F110ADD" w:rsidR="000A328E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Lp.121 Umywalki pojedyncze porcelanowe wiszące na stelażu dla niepełnopsrawnych - 4 szt.</w:t>
      </w:r>
    </w:p>
    <w:p w14:paraId="0688841A" w14:textId="2BDAB673" w:rsidR="000A328E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Czy w wycenie przyjąć stelaże podtynkowe do zabudowy lekkiej wg. przedmiaru czy nie ?</w:t>
      </w:r>
    </w:p>
    <w:p w14:paraId="482C9A32" w14:textId="00961E6A" w:rsidR="00CB313A" w:rsidRPr="00167B48" w:rsidRDefault="00CB313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lastRenderedPageBreak/>
        <w:t>(w opisie budowy stelaży nie ma)</w:t>
      </w:r>
    </w:p>
    <w:p w14:paraId="313B257B" w14:textId="77777777" w:rsidR="0038744E" w:rsidRPr="00167B48" w:rsidRDefault="0038744E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</w:p>
    <w:p w14:paraId="04DC006B" w14:textId="6639BCF0" w:rsidR="006C1891" w:rsidRPr="00167B48" w:rsidRDefault="000A328E" w:rsidP="00167B48">
      <w:pPr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Odpowiedź:</w:t>
      </w:r>
      <w:r w:rsidR="00FB5E6A" w:rsidRPr="00167B48">
        <w:rPr>
          <w:rFonts w:cstheme="minorHAnsi"/>
          <w:b/>
          <w:bCs/>
        </w:rPr>
        <w:t xml:space="preserve"> </w:t>
      </w:r>
      <w:r w:rsidR="006F4DBA" w:rsidRPr="00167B48">
        <w:rPr>
          <w:rFonts w:cstheme="minorHAnsi"/>
          <w:b/>
          <w:bCs/>
        </w:rPr>
        <w:t xml:space="preserve">Zamawiający informuje, że należy przewidzieć i wykonać podejścia do wszystkich zaprojektowanych urządzeń – w tym wskazanych baterii i odpływów. </w:t>
      </w:r>
    </w:p>
    <w:p w14:paraId="68D320F4" w14:textId="7954FB43" w:rsidR="006F4DBA" w:rsidRPr="00167B48" w:rsidRDefault="001D2BDD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I</w:t>
      </w:r>
      <w:r w:rsidR="006F4DBA" w:rsidRPr="00167B48">
        <w:rPr>
          <w:rFonts w:cstheme="minorHAnsi"/>
          <w:b/>
          <w:bCs/>
        </w:rPr>
        <w:t xml:space="preserve">nformujemy, że przedmiary są dokumentami </w:t>
      </w:r>
      <w:r w:rsidR="00CA3DC1" w:rsidRPr="00167B48">
        <w:rPr>
          <w:rFonts w:cstheme="minorHAnsi"/>
          <w:b/>
          <w:bCs/>
        </w:rPr>
        <w:t xml:space="preserve">pomocniczymi i należy wycenić ilość wyposażenia zgodnie z rysunkami i opisami projektu technicznego. </w:t>
      </w:r>
    </w:p>
    <w:p w14:paraId="08A0E508" w14:textId="77777777" w:rsidR="00B85677" w:rsidRPr="00167B48" w:rsidRDefault="00CA3DC1" w:rsidP="00167B48">
      <w:pPr>
        <w:spacing w:after="0" w:line="319" w:lineRule="auto"/>
        <w:jc w:val="both"/>
        <w:rPr>
          <w:rStyle w:val="color"/>
          <w:rFonts w:eastAsia="Times New Roman" w:cstheme="minorHAnsi"/>
          <w:b/>
          <w:bCs/>
          <w:iCs/>
        </w:rPr>
      </w:pPr>
      <w:r w:rsidRPr="00167B48">
        <w:rPr>
          <w:rFonts w:cstheme="minorHAnsi"/>
          <w:b/>
          <w:bCs/>
        </w:rPr>
        <w:t xml:space="preserve">Odnośnie montażu baterii podtynkowych w toaletach dla niepełnosprawnych informujemy, że należy przewidzieć zabudowę lekką w celu ich montażu natomiast dla montażu odwodnień liniowych dla wykładzin PVC </w:t>
      </w:r>
      <w:r w:rsidR="00B85677" w:rsidRPr="00167B48">
        <w:rPr>
          <w:rFonts w:cstheme="minorHAnsi"/>
          <w:b/>
          <w:bCs/>
        </w:rPr>
        <w:t xml:space="preserve">zaprojektowano specjalnie odpływ liniowy </w:t>
      </w:r>
      <w:r w:rsidR="00B85677" w:rsidRPr="00167B48">
        <w:rPr>
          <w:rStyle w:val="color"/>
          <w:rFonts w:eastAsia="Times New Roman" w:cstheme="minorHAnsi"/>
          <w:b/>
          <w:bCs/>
          <w:iCs/>
        </w:rPr>
        <w:t>do montażu z wykładzinami elastycznymi:</w:t>
      </w:r>
      <w:r w:rsidR="00B85677" w:rsidRPr="00167B48">
        <w:rPr>
          <w:rFonts w:eastAsia="Times New Roman" w:cstheme="minorHAnsi"/>
          <w:b/>
          <w:bCs/>
          <w:iCs/>
        </w:rPr>
        <w:br/>
      </w:r>
    </w:p>
    <w:p w14:paraId="56FDA90A" w14:textId="77777777" w:rsidR="00B85677" w:rsidRPr="00167B48" w:rsidRDefault="00B85677" w:rsidP="00167B48">
      <w:pPr>
        <w:pStyle w:val="Akapitzlist"/>
        <w:numPr>
          <w:ilvl w:val="0"/>
          <w:numId w:val="4"/>
        </w:numPr>
        <w:spacing w:after="0" w:line="319" w:lineRule="auto"/>
        <w:jc w:val="both"/>
        <w:rPr>
          <w:rStyle w:val="color"/>
          <w:rFonts w:eastAsia="Times New Roman" w:cstheme="minorHAnsi"/>
        </w:rPr>
      </w:pPr>
      <w:r w:rsidRPr="00167B48">
        <w:rPr>
          <w:rStyle w:val="color"/>
          <w:rFonts w:eastAsia="Times New Roman" w:cstheme="minorHAnsi"/>
          <w:b/>
          <w:bCs/>
          <w:iCs/>
        </w:rPr>
        <w:t>Odejście: boczne 50mm, niskoprofilowe</w:t>
      </w:r>
    </w:p>
    <w:p w14:paraId="3410E5D5" w14:textId="5C4AD540" w:rsidR="00B85677" w:rsidRPr="00167B48" w:rsidRDefault="00B85677" w:rsidP="00167B48">
      <w:pPr>
        <w:pStyle w:val="Akapitzlist"/>
        <w:numPr>
          <w:ilvl w:val="0"/>
          <w:numId w:val="4"/>
        </w:numPr>
        <w:spacing w:after="0" w:line="319" w:lineRule="auto"/>
        <w:jc w:val="both"/>
        <w:rPr>
          <w:rFonts w:eastAsia="Times New Roman" w:cstheme="minorHAnsi"/>
        </w:rPr>
      </w:pPr>
      <w:r w:rsidRPr="00167B48">
        <w:rPr>
          <w:rFonts w:eastAsia="Times New Roman" w:cstheme="minorHAnsi"/>
          <w:b/>
          <w:bCs/>
          <w:iCs/>
        </w:rPr>
        <w:t>Długość: 600 / 700 / 800 / 900 / 1000mm</w:t>
      </w:r>
    </w:p>
    <w:p w14:paraId="27DF96C1" w14:textId="4AF994B3" w:rsidR="00CA3DC1" w:rsidRPr="00167B48" w:rsidRDefault="00B85677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eastAsia="Times New Roman" w:cstheme="minorHAnsi"/>
          <w:b/>
          <w:bCs/>
          <w:iCs/>
        </w:rPr>
        <w:t xml:space="preserve">Odwodnienie musi być wyposażone w klamrę zaciskową, umożliwiającą wprowadzenie wykładziny do środka odpływu i dociśnięcie, dokręcenie jej w taki sposób, że woda nie będzie penetrowała pod wykładzinę (najczęstszą przyczynę bąblenia i odklejania się wykładzin w okolicy wpustów i odpływów). Odwodnienie musi być wyposażone w syfon suchy. </w:t>
      </w:r>
    </w:p>
    <w:p w14:paraId="6C7EF29B" w14:textId="4EA1A5FC" w:rsidR="00600B49" w:rsidRPr="00167B48" w:rsidRDefault="00872EAA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W</w:t>
      </w:r>
      <w:r w:rsidR="00BF30E1" w:rsidRPr="00167B48">
        <w:rPr>
          <w:rFonts w:cstheme="minorHAnsi"/>
          <w:b/>
          <w:bCs/>
        </w:rPr>
        <w:t xml:space="preserve"> wycenie należy przewidzieć brakujące stelaże podtynk</w:t>
      </w:r>
      <w:r w:rsidRPr="00167B48">
        <w:rPr>
          <w:rFonts w:cstheme="minorHAnsi"/>
          <w:b/>
          <w:bCs/>
        </w:rPr>
        <w:t>owe do zabudowy lekkiej</w:t>
      </w:r>
      <w:r w:rsidR="007B2E0E" w:rsidRPr="00167B48">
        <w:rPr>
          <w:rFonts w:cstheme="minorHAnsi"/>
          <w:b/>
          <w:bCs/>
        </w:rPr>
        <w:t>,</w:t>
      </w:r>
      <w:r w:rsidRPr="00167B48">
        <w:rPr>
          <w:rFonts w:cstheme="minorHAnsi"/>
          <w:b/>
          <w:bCs/>
        </w:rPr>
        <w:t xml:space="preserve"> zgodnie z dokumentacją projektową. </w:t>
      </w:r>
    </w:p>
    <w:p w14:paraId="054F6D50" w14:textId="77777777" w:rsidR="00B85677" w:rsidRPr="00167B48" w:rsidRDefault="00B85677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</w:p>
    <w:p w14:paraId="47E981D9" w14:textId="77777777" w:rsidR="00232F21" w:rsidRPr="00167B48" w:rsidRDefault="00232F21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Pytanie nr 71:</w:t>
      </w:r>
    </w:p>
    <w:p w14:paraId="642740D7" w14:textId="77777777" w:rsidR="00232F21" w:rsidRPr="00167B48" w:rsidRDefault="00232F21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Cs/>
        </w:rPr>
      </w:pPr>
      <w:r w:rsidRPr="00167B48">
        <w:rPr>
          <w:rFonts w:cstheme="minorHAnsi"/>
          <w:bCs/>
        </w:rPr>
        <w:t xml:space="preserve">W opisie technicznym podano, że radiowęzeł należy podłączyć do istniejącego systemu. </w:t>
      </w:r>
    </w:p>
    <w:p w14:paraId="50EF5E3B" w14:textId="77777777" w:rsidR="00232F21" w:rsidRPr="00167B48" w:rsidRDefault="00232F21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Cs/>
        </w:rPr>
      </w:pPr>
      <w:r w:rsidRPr="00167B48">
        <w:rPr>
          <w:rFonts w:cstheme="minorHAnsi"/>
          <w:bCs/>
        </w:rPr>
        <w:t>Prosimy o przekazanie informacji o konfiguracji istniejącego systemu – urządzeń dystrybucyjnych (matryca/mikser, wzmacniacz, panel mikrofonowy, itp.).</w:t>
      </w:r>
    </w:p>
    <w:p w14:paraId="09FEED61" w14:textId="77777777" w:rsidR="00232F21" w:rsidRPr="00167B48" w:rsidRDefault="00232F21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Cs/>
        </w:rPr>
      </w:pPr>
      <w:r w:rsidRPr="00167B48">
        <w:rPr>
          <w:rFonts w:cstheme="minorHAnsi"/>
          <w:bCs/>
        </w:rPr>
        <w:t>W przedmiarze nie ma w ogóle elementów typu matryca/mikser, wzmacniacz itp. Czy takie elementy będą wykorzystywane z istniejącego systemu czy należy je dodatkowo wycenić?</w:t>
      </w:r>
    </w:p>
    <w:p w14:paraId="7C24FB5B" w14:textId="0B10B2EF" w:rsidR="00FF6E00" w:rsidRPr="00167B48" w:rsidRDefault="00232F21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 xml:space="preserve">Odpowiedź: </w:t>
      </w:r>
      <w:r w:rsidR="00FF6E00" w:rsidRPr="00167B48">
        <w:rPr>
          <w:rFonts w:cstheme="minorHAnsi"/>
          <w:b/>
          <w:bCs/>
        </w:rPr>
        <w:t>Należy się połączyć z istniejącym systemem pAudio Technologies opartym na urządzeniach IVO Compact, należy w tym przypadku zakupić dedykowaną szafkę i połączyć ją z istniejącym systemem za pomocą oprzewodowania zgodnie z w</w:t>
      </w:r>
      <w:r w:rsidR="00BF30E1" w:rsidRPr="00167B48">
        <w:rPr>
          <w:rFonts w:cstheme="minorHAnsi"/>
          <w:b/>
          <w:bCs/>
        </w:rPr>
        <w:t>ytycznymi dostawcy. W załączeniu przekazujemy kartę materiałową</w:t>
      </w:r>
      <w:r w:rsidR="00FF6E00" w:rsidRPr="00167B48">
        <w:rPr>
          <w:rFonts w:cstheme="minorHAnsi"/>
          <w:b/>
          <w:bCs/>
        </w:rPr>
        <w:t xml:space="preserve"> urządzenia. </w:t>
      </w:r>
    </w:p>
    <w:p w14:paraId="7A25F8C1" w14:textId="77777777" w:rsidR="00BF30E1" w:rsidRPr="00167B48" w:rsidRDefault="00BF30E1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</w:p>
    <w:p w14:paraId="5AF0CF4C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Pytanie nr 72:</w:t>
      </w:r>
    </w:p>
    <w:p w14:paraId="634D6F19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Na rysunku D.03 – DETAL 3 jest informacja: „Dla dodatkowego podwyższenia komfortu akustycznego sali, zaleca się wykonać analogicznie dodatkową okładzinę ściany za drabinkami gimnastycznymi na pozostałych dwóch ścianach”. Prosimy o informację czy należy uwzględnić tę dodatkową okładzinę za drabinkami gimnastycznymi? Jeśli tak, to prosimy o szczegółowe podanie nazwy okładziny, jej parametrów, wszystkich wymiarów, możliwego sposobu mocowania ze względu na umiejscowienie oraz ilości (powierzchni).</w:t>
      </w:r>
    </w:p>
    <w:p w14:paraId="0998DDC5" w14:textId="4F7F4A53" w:rsidR="0009393F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Odpowiedź:</w:t>
      </w:r>
      <w:r w:rsidR="00A805BE" w:rsidRPr="00167B48">
        <w:rPr>
          <w:rFonts w:cstheme="minorHAnsi"/>
          <w:b/>
          <w:bCs/>
        </w:rPr>
        <w:t xml:space="preserve"> </w:t>
      </w:r>
      <w:r w:rsidR="0009393F" w:rsidRPr="00167B48">
        <w:rPr>
          <w:rFonts w:cstheme="minorHAnsi"/>
          <w:b/>
          <w:bCs/>
        </w:rPr>
        <w:t>Tak należy uwzględnić dodatkową okładzinę zgodnie z poniższym opisem:</w:t>
      </w:r>
    </w:p>
    <w:p w14:paraId="488093E0" w14:textId="77777777" w:rsidR="0009393F" w:rsidRPr="00167B48" w:rsidRDefault="0009393F" w:rsidP="00167B48">
      <w:pPr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Płyty wypełniające z prasowanej wełny kamiennej bez dodatków organicznych w module 2400x600mm, grubość 40mm, o deklarowanych i gwarantowanych w ramach Deklaracji Właściwości</w:t>
      </w:r>
    </w:p>
    <w:p w14:paraId="07B5D2E4" w14:textId="77777777" w:rsidR="0009393F" w:rsidRPr="00167B48" w:rsidRDefault="0009393F" w:rsidP="00167B48">
      <w:pPr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lastRenderedPageBreak/>
        <w:t>Użytkowych (DoP) parametrach:</w:t>
      </w:r>
    </w:p>
    <w:p w14:paraId="6568387D" w14:textId="77777777" w:rsidR="0009393F" w:rsidRPr="00167B48" w:rsidRDefault="0009393F" w:rsidP="00167B48">
      <w:pPr>
        <w:spacing w:after="0" w:line="319" w:lineRule="auto"/>
        <w:ind w:left="426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- współczynnik pochłaniania dźwięku αw=1,00,</w:t>
      </w:r>
    </w:p>
    <w:p w14:paraId="6A4BEE12" w14:textId="77777777" w:rsidR="0009393F" w:rsidRPr="00167B48" w:rsidRDefault="0009393F" w:rsidP="00167B48">
      <w:pPr>
        <w:spacing w:after="0" w:line="319" w:lineRule="auto"/>
        <w:ind w:left="426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- reakcja na ogień zgodnie z EN 13501-1 - Euro klasa A2, s1,d0,</w:t>
      </w:r>
    </w:p>
    <w:p w14:paraId="7DF9207F" w14:textId="77777777" w:rsidR="0009393F" w:rsidRPr="00167B48" w:rsidRDefault="0009393F" w:rsidP="00167B48">
      <w:pPr>
        <w:spacing w:after="0" w:line="319" w:lineRule="auto"/>
        <w:ind w:left="426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- uwalnianie formaldehydu - Klasa E1,</w:t>
      </w:r>
    </w:p>
    <w:p w14:paraId="5960A0EB" w14:textId="77777777" w:rsidR="0009393F" w:rsidRPr="00167B48" w:rsidRDefault="0009393F" w:rsidP="00167B48">
      <w:pPr>
        <w:spacing w:after="0" w:line="319" w:lineRule="auto"/>
        <w:ind w:left="426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- odporność na zginanie - Klasa 1/C/0N</w:t>
      </w:r>
    </w:p>
    <w:p w14:paraId="4A2B34F0" w14:textId="670D1EA7" w:rsidR="0009393F" w:rsidRPr="00167B48" w:rsidRDefault="0009393F" w:rsidP="00167B48">
      <w:pPr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Płyty zabezpieczone od tyłu welonem</w:t>
      </w:r>
      <w:r w:rsidR="00A805BE" w:rsidRPr="00167B48">
        <w:rPr>
          <w:rFonts w:cstheme="minorHAnsi"/>
          <w:b/>
          <w:bCs/>
        </w:rPr>
        <w:t>,</w:t>
      </w:r>
      <w:r w:rsidRPr="00167B48">
        <w:rPr>
          <w:rFonts w:cstheme="minorHAnsi"/>
          <w:b/>
          <w:bCs/>
        </w:rPr>
        <w:t xml:space="preserve"> a strona widoczna pokryta tkaniną z włókna szklanego</w:t>
      </w:r>
      <w:r w:rsidR="00A805BE" w:rsidRPr="00167B48">
        <w:rPr>
          <w:rFonts w:cstheme="minorHAnsi"/>
          <w:b/>
          <w:bCs/>
        </w:rPr>
        <w:t xml:space="preserve"> w </w:t>
      </w:r>
      <w:r w:rsidRPr="00167B48">
        <w:rPr>
          <w:rFonts w:cstheme="minorHAnsi"/>
          <w:b/>
          <w:bCs/>
        </w:rPr>
        <w:t>kolorze białym - zbliżonym do NSC S 0500-N, współczynnik odbicia światła 72%, powierzchnia odporna na uszkodzenia mechaniczne, przeznaczona do czyszczenia. Krawędzie boczne płyt typ C, wzmocnione</w:t>
      </w:r>
      <w:r w:rsidR="00A805BE" w:rsidRPr="00167B48">
        <w:rPr>
          <w:rFonts w:cstheme="minorHAnsi"/>
          <w:b/>
          <w:bCs/>
        </w:rPr>
        <w:t xml:space="preserve"> </w:t>
      </w:r>
      <w:r w:rsidRPr="00167B48">
        <w:rPr>
          <w:rFonts w:cstheme="minorHAnsi"/>
          <w:b/>
          <w:bCs/>
        </w:rPr>
        <w:t>i powlekane tkaniną. Płyty o pełnej stabilności wymiarowej, odporne do 100% wilgotności względnej</w:t>
      </w:r>
      <w:r w:rsidR="00A805BE" w:rsidRPr="00167B48">
        <w:rPr>
          <w:rFonts w:cstheme="minorHAnsi"/>
          <w:b/>
          <w:bCs/>
        </w:rPr>
        <w:t xml:space="preserve"> </w:t>
      </w:r>
      <w:r w:rsidRPr="00167B48">
        <w:rPr>
          <w:rFonts w:cstheme="minorHAnsi"/>
          <w:b/>
          <w:bCs/>
        </w:rPr>
        <w:t>powietrza, odporne na działanie mikroorganizmów: bakterii, grzybów i pleśni.</w:t>
      </w:r>
    </w:p>
    <w:p w14:paraId="25CF79DC" w14:textId="5AD79D0F" w:rsidR="0009393F" w:rsidRPr="00167B48" w:rsidRDefault="0009393F" w:rsidP="00167B48">
      <w:pPr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Konstrukcja</w:t>
      </w:r>
      <w:r w:rsidR="00A805BE" w:rsidRPr="00167B48">
        <w:rPr>
          <w:rFonts w:cstheme="minorHAnsi"/>
          <w:b/>
          <w:bCs/>
        </w:rPr>
        <w:t>:</w:t>
      </w:r>
      <w:r w:rsidRPr="00167B48">
        <w:rPr>
          <w:rFonts w:cstheme="minorHAnsi"/>
          <w:b/>
          <w:bCs/>
        </w:rPr>
        <w:t xml:space="preserve"> system Q, składająca się z profili typ C, narożników wewnętrznych i zewnętrznych oraz</w:t>
      </w:r>
    </w:p>
    <w:p w14:paraId="65FCB2F7" w14:textId="1CB137DF" w:rsidR="0009393F" w:rsidRPr="00167B48" w:rsidRDefault="0009393F" w:rsidP="00167B48">
      <w:pPr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łączników, wykonanych z anodowanego aluminium. Konstrukcja przeznaczona do tworzenia modułów o wysokości 2400mm i dowolnej długości, które można ze sobą łączyć.</w:t>
      </w:r>
    </w:p>
    <w:p w14:paraId="2A6A9C67" w14:textId="77777777" w:rsidR="0009393F" w:rsidRPr="00167B48" w:rsidRDefault="0009393F" w:rsidP="00167B48">
      <w:pPr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UWAGA – Projektowane panele należy umieścić w pasie między drabinkami a oknami na piętrze.</w:t>
      </w:r>
    </w:p>
    <w:p w14:paraId="09F4C61D" w14:textId="77777777" w:rsidR="0009393F" w:rsidRPr="00167B48" w:rsidRDefault="0009393F" w:rsidP="00167B48">
      <w:pPr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Ilość paneli należy przyjąć dostosowując ilość paneli do obszaru pomiędzy słupami zlokalizowanymi przy ścianie w osi 2 (ściana pomiędzy salą gimnastyczną a komunikacją ogólną)</w:t>
      </w:r>
    </w:p>
    <w:p w14:paraId="3BC29B79" w14:textId="1595EC9A" w:rsidR="0009393F" w:rsidRPr="00167B48" w:rsidRDefault="0009393F" w:rsidP="00167B48">
      <w:pPr>
        <w:spacing w:after="0" w:line="319" w:lineRule="auto"/>
        <w:ind w:left="426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 xml:space="preserve">- pole skrajne 523 cm (odległość od </w:t>
      </w:r>
      <w:r w:rsidR="00A805BE" w:rsidRPr="00167B48">
        <w:rPr>
          <w:rFonts w:cstheme="minorHAnsi"/>
          <w:b/>
          <w:bCs/>
        </w:rPr>
        <w:t>ściany do słupa)</w:t>
      </w:r>
      <w:r w:rsidRPr="00167B48">
        <w:rPr>
          <w:rFonts w:cstheme="minorHAnsi"/>
          <w:b/>
          <w:bCs/>
        </w:rPr>
        <w:t xml:space="preserve"> – 8 szt.</w:t>
      </w:r>
      <w:r w:rsidR="00A805BE" w:rsidRPr="00167B48">
        <w:rPr>
          <w:rFonts w:cstheme="minorHAnsi"/>
          <w:b/>
          <w:bCs/>
        </w:rPr>
        <w:t xml:space="preserve"> paneli</w:t>
      </w:r>
    </w:p>
    <w:p w14:paraId="33D35729" w14:textId="51CEAC7B" w:rsidR="0009393F" w:rsidRPr="00167B48" w:rsidRDefault="00A805BE" w:rsidP="00167B48">
      <w:pPr>
        <w:spacing w:after="0" w:line="319" w:lineRule="auto"/>
        <w:ind w:left="426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- 4 pola wewnątrz 570 cm (odl. od słupa do słupa) – liczba</w:t>
      </w:r>
      <w:r w:rsidR="0009393F" w:rsidRPr="00167B48">
        <w:rPr>
          <w:rFonts w:cstheme="minorHAnsi"/>
          <w:b/>
          <w:bCs/>
        </w:rPr>
        <w:t xml:space="preserve"> paneli 9 w każdym polu 4x9 = 36 szt.</w:t>
      </w:r>
    </w:p>
    <w:p w14:paraId="4DC39071" w14:textId="280ABB51" w:rsidR="0009393F" w:rsidRPr="00167B48" w:rsidRDefault="00A805BE" w:rsidP="00167B48">
      <w:pPr>
        <w:spacing w:after="0" w:line="319" w:lineRule="auto"/>
        <w:ind w:left="426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- pole skrajne 523 cm (odl.</w:t>
      </w:r>
      <w:r w:rsidR="0009393F" w:rsidRPr="00167B48">
        <w:rPr>
          <w:rFonts w:cstheme="minorHAnsi"/>
          <w:b/>
          <w:bCs/>
        </w:rPr>
        <w:t xml:space="preserve"> od słupa do ściany)</w:t>
      </w:r>
      <w:r w:rsidRPr="00167B48">
        <w:rPr>
          <w:rFonts w:cstheme="minorHAnsi"/>
          <w:b/>
          <w:bCs/>
        </w:rPr>
        <w:t xml:space="preserve"> </w:t>
      </w:r>
      <w:r w:rsidR="0009393F" w:rsidRPr="00167B48">
        <w:rPr>
          <w:rFonts w:cstheme="minorHAnsi"/>
          <w:b/>
          <w:bCs/>
        </w:rPr>
        <w:t>– ilość paneli – 8 szt.</w:t>
      </w:r>
    </w:p>
    <w:p w14:paraId="3DB10979" w14:textId="77777777" w:rsidR="0009393F" w:rsidRPr="00167B48" w:rsidRDefault="0009393F" w:rsidP="00167B48">
      <w:pPr>
        <w:pStyle w:val="Tekstpodstawowy"/>
        <w:spacing w:after="0" w:line="319" w:lineRule="auto"/>
        <w:jc w:val="both"/>
        <w:rPr>
          <w:rFonts w:asciiTheme="minorHAnsi" w:eastAsiaTheme="minorHAnsi" w:hAnsiTheme="minorHAnsi" w:cstheme="minorHAnsi"/>
          <w:b/>
          <w:bCs/>
          <w:highlight w:val="yellow"/>
          <w14:ligatures w14:val="standardContextual"/>
        </w:rPr>
      </w:pPr>
    </w:p>
    <w:p w14:paraId="1DF5A233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Pytanie nr 73:</w:t>
      </w:r>
    </w:p>
    <w:p w14:paraId="735C3CF1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W związku z przesunięciem pierwotnego terminu składania ofert o tydzień prosimy również o adekwatne przesunięcie terminu realizacji Umowy.</w:t>
      </w:r>
    </w:p>
    <w:p w14:paraId="052BC99E" w14:textId="70ED7064" w:rsidR="00FF6E00" w:rsidRPr="00167B48" w:rsidRDefault="000A3A74" w:rsidP="00167B48">
      <w:pPr>
        <w:pStyle w:val="Tekstpodstawowy"/>
        <w:spacing w:after="0" w:line="319" w:lineRule="auto"/>
        <w:jc w:val="both"/>
        <w:rPr>
          <w:rFonts w:asciiTheme="minorHAnsi" w:hAnsiTheme="minorHAnsi" w:cstheme="minorHAnsi"/>
        </w:rPr>
      </w:pPr>
      <w:r w:rsidRPr="00167B48">
        <w:rPr>
          <w:rFonts w:asciiTheme="minorHAnsi" w:hAnsiTheme="minorHAnsi" w:cstheme="minorHAnsi"/>
          <w:b/>
          <w:bCs/>
        </w:rPr>
        <w:t>Odpowiedź:</w:t>
      </w:r>
      <w:r w:rsidR="00BF30E1" w:rsidRPr="00167B48">
        <w:rPr>
          <w:rFonts w:asciiTheme="minorHAnsi" w:hAnsiTheme="minorHAnsi" w:cstheme="minorHAnsi"/>
          <w:b/>
          <w:bCs/>
        </w:rPr>
        <w:t xml:space="preserve"> Zamawiający nie zgadza się na przesunięcie terminu realizacji inwestycji, określony termin wynika z koniecznych działań związanych z wyposażeniem i przygotowaniem nowego budynku na rozpoczęcie roku szkolnego 2026/2027. </w:t>
      </w:r>
    </w:p>
    <w:p w14:paraId="3209F0B2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</w:p>
    <w:p w14:paraId="4263BB39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Pytanie nr 74:</w:t>
      </w:r>
    </w:p>
    <w:p w14:paraId="07125C64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Wg rysunku A12 sufity podwieszane w pomieszczeniach higieniczno-sanitarnych i w salach lekcyjnych mają grubość 20mm, a wg opisu technicznego pkt. 12.4.1 i 12.4.2 mają grubość 40mm. Prosimy o informację jaką grubość przyjąć?</w:t>
      </w:r>
    </w:p>
    <w:p w14:paraId="666F2445" w14:textId="789345BB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Odpowiedź:</w:t>
      </w:r>
      <w:r w:rsidR="00FF6E00" w:rsidRPr="00167B48">
        <w:rPr>
          <w:rFonts w:cstheme="minorHAnsi"/>
          <w:b/>
          <w:bCs/>
        </w:rPr>
        <w:t xml:space="preserve"> </w:t>
      </w:r>
      <w:r w:rsidR="00FF6E00" w:rsidRPr="00167B48">
        <w:rPr>
          <w:rFonts w:eastAsia="Calibri" w:cstheme="minorHAnsi"/>
          <w:b/>
          <w:bCs/>
          <w14:ligatures w14:val="none"/>
        </w:rPr>
        <w:t>Należy przyjąć grubość 20 mm.</w:t>
      </w:r>
    </w:p>
    <w:p w14:paraId="50CF50E5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</w:p>
    <w:p w14:paraId="3C5F3543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Pytanie nr 75:</w:t>
      </w:r>
    </w:p>
    <w:p w14:paraId="2B8B1D8A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Czy wymiana gruntu ma być przeprowadzona lokalnie tylko w obrębie wybranych fundamentów (jak sugerują przekroje) czy na całej powierzchni budynku?</w:t>
      </w:r>
    </w:p>
    <w:p w14:paraId="12F8F494" w14:textId="42A5EC16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Odpowiedź:</w:t>
      </w:r>
      <w:r w:rsidR="00BF30E1" w:rsidRPr="00167B48">
        <w:rPr>
          <w:rFonts w:cstheme="minorHAnsi"/>
          <w:b/>
          <w:bCs/>
        </w:rPr>
        <w:t xml:space="preserve"> </w:t>
      </w:r>
      <w:r w:rsidR="00FF6E00" w:rsidRPr="00167B48">
        <w:rPr>
          <w:rFonts w:eastAsia="Calibri" w:cstheme="minorHAnsi"/>
          <w:b/>
          <w:bCs/>
          <w14:ligatures w14:val="none"/>
        </w:rPr>
        <w:t>Wymiana gruntu ma być prowadzona tylko w obrębie fundamentów jeśli odsłonięte zostaną plastyczne piaski gliniaste. Na całej powierzchni budynku należy</w:t>
      </w:r>
      <w:r w:rsidR="00BF30E1" w:rsidRPr="00167B48">
        <w:rPr>
          <w:rFonts w:eastAsia="Calibri" w:cstheme="minorHAnsi"/>
          <w:b/>
          <w:bCs/>
          <w14:ligatures w14:val="none"/>
        </w:rPr>
        <w:t xml:space="preserve"> usunąć nasypy niekontrolowane oraz</w:t>
      </w:r>
      <w:r w:rsidR="00FF6E00" w:rsidRPr="00167B48">
        <w:rPr>
          <w:rFonts w:eastAsia="Calibri" w:cstheme="minorHAnsi"/>
          <w:b/>
          <w:bCs/>
          <w14:ligatures w14:val="none"/>
        </w:rPr>
        <w:t xml:space="preserve"> glebę </w:t>
      </w:r>
      <w:r w:rsidR="00BF30E1" w:rsidRPr="00167B48">
        <w:rPr>
          <w:rFonts w:eastAsia="Calibri" w:cstheme="minorHAnsi"/>
          <w:b/>
          <w:bCs/>
          <w14:ligatures w14:val="none"/>
        </w:rPr>
        <w:t>i</w:t>
      </w:r>
      <w:r w:rsidR="00FF6E00" w:rsidRPr="00167B48">
        <w:rPr>
          <w:rFonts w:eastAsia="Calibri" w:cstheme="minorHAnsi"/>
          <w:b/>
          <w:bCs/>
          <w14:ligatures w14:val="none"/>
        </w:rPr>
        <w:t xml:space="preserve"> do spodu chudego betonu zstąpić je nasypem zagęszczonym z piasków.</w:t>
      </w:r>
    </w:p>
    <w:p w14:paraId="73CB8324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</w:p>
    <w:p w14:paraId="01AE1729" w14:textId="77777777" w:rsidR="00167B48" w:rsidRDefault="00167B48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</w:p>
    <w:p w14:paraId="6172F0D1" w14:textId="19C04F4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lastRenderedPageBreak/>
        <w:t>Pytanie nr 76:</w:t>
      </w:r>
    </w:p>
    <w:p w14:paraId="118D5BC5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Z opisu technicznego konstrukcji pkt. 6.1 str. 7 wynika, że plastyczne piaski gliniaste nie stanowią odpowiedniego podłoża do posadowienia fundamentów. Zalegają one w otworze nr 1 od -1,60m do -3,70m p.p.t. (przy poziomie posadowienia -2,0m p.p.t.) oraz w otworze nr 2 od -2,80m do -4,30m (przy poziomie posadowienia -2,0m p.p.t.). Do jakiej głębokości należy dokonać wymiany gruntu lub jak (i od jakiej głębokości) należy w inny sposób wzmocnić</w:t>
      </w:r>
    </w:p>
    <w:p w14:paraId="77063FDF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podłoże?</w:t>
      </w:r>
    </w:p>
    <w:p w14:paraId="45CD4DC4" w14:textId="70E7B70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Odpowiedź</w:t>
      </w:r>
      <w:r w:rsidR="00BF30E1" w:rsidRPr="00167B48">
        <w:rPr>
          <w:rFonts w:cstheme="minorHAnsi"/>
          <w:b/>
          <w:bCs/>
        </w:rPr>
        <w:t xml:space="preserve">: </w:t>
      </w:r>
      <w:r w:rsidR="00FF6E00" w:rsidRPr="00167B48">
        <w:rPr>
          <w:rFonts w:eastAsia="Calibri" w:cstheme="minorHAnsi"/>
          <w:b/>
          <w:bCs/>
          <w14:ligatures w14:val="none"/>
        </w:rPr>
        <w:t>Odsłonięte plastyczne piaski gliniaste należy wymienić pod fundamentami na zagęszczony nasyp budowlany (lub piasek stabilizowany cementem Rm &gt;= 2,5 MPa). Minimalna grubość wymiany 60 cm. Szerokość wymiany większa min. 50 cm na każdą stronę fundamentu</w:t>
      </w:r>
      <w:r w:rsidR="00BF30E1" w:rsidRPr="00167B48">
        <w:rPr>
          <w:rFonts w:eastAsia="Calibri" w:cstheme="minorHAnsi"/>
          <w:b/>
          <w:bCs/>
          <w14:ligatures w14:val="none"/>
        </w:rPr>
        <w:t>.</w:t>
      </w:r>
      <w:r w:rsidR="00BF30E1" w:rsidRPr="00167B48">
        <w:rPr>
          <w:rFonts w:cstheme="minorHAnsi"/>
          <w:b/>
          <w:bCs/>
          <w:i/>
          <w:iCs/>
          <w:shd w:val="clear" w:color="auto" w:fill="FFFFD7"/>
        </w:rPr>
        <w:t xml:space="preserve"> </w:t>
      </w:r>
    </w:p>
    <w:p w14:paraId="702D2680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</w:p>
    <w:p w14:paraId="0F2AF596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Pytanie nr 77:</w:t>
      </w:r>
    </w:p>
    <w:p w14:paraId="7E1C4358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Prosimy o potwierdzenie, że zakres robót do wykonania związany z zagospodarowaniem terenu (drogi, zieleń) ujęty jest na rys. A19a</w:t>
      </w:r>
    </w:p>
    <w:p w14:paraId="1D508E97" w14:textId="7F917419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eastAsia="Calibri" w:cstheme="minorHAnsi"/>
          <w:b/>
          <w:bCs/>
          <w14:ligatures w14:val="none"/>
        </w:rPr>
      </w:pPr>
      <w:r w:rsidRPr="00167B48">
        <w:rPr>
          <w:rFonts w:cstheme="minorHAnsi"/>
          <w:b/>
          <w:bCs/>
        </w:rPr>
        <w:t>Odpowiedź:</w:t>
      </w:r>
      <w:r w:rsidR="00FF6E00" w:rsidRPr="00167B48">
        <w:rPr>
          <w:rFonts w:cstheme="minorHAnsi"/>
          <w:b/>
          <w:bCs/>
        </w:rPr>
        <w:t xml:space="preserve"> </w:t>
      </w:r>
      <w:r w:rsidR="00FF6E00" w:rsidRPr="00167B48">
        <w:rPr>
          <w:rFonts w:eastAsia="Calibri" w:cstheme="minorHAnsi"/>
          <w:b/>
          <w:bCs/>
          <w14:ligatures w14:val="none"/>
        </w:rPr>
        <w:t>Cały zakres dot. zagospodarowania terenu nie został ujęty na rys. A19</w:t>
      </w:r>
      <w:r w:rsidR="00001D08" w:rsidRPr="00167B48">
        <w:rPr>
          <w:rFonts w:eastAsia="Calibri" w:cstheme="minorHAnsi"/>
          <w:b/>
          <w:bCs/>
          <w14:ligatures w14:val="none"/>
        </w:rPr>
        <w:t>a</w:t>
      </w:r>
      <w:r w:rsidR="00FF6E00" w:rsidRPr="00167B48">
        <w:rPr>
          <w:rFonts w:eastAsia="Calibri" w:cstheme="minorHAnsi"/>
          <w:b/>
          <w:bCs/>
          <w14:ligatures w14:val="none"/>
        </w:rPr>
        <w:t>. Dokumentację dot. zagospodarowania terenu należy rozpat</w:t>
      </w:r>
      <w:r w:rsidR="00BF30E1" w:rsidRPr="00167B48">
        <w:rPr>
          <w:rFonts w:eastAsia="Calibri" w:cstheme="minorHAnsi"/>
          <w:b/>
          <w:bCs/>
          <w14:ligatures w14:val="none"/>
        </w:rPr>
        <w:t xml:space="preserve">rywać łącznie z tomem V – DROGI oraz odpowiedziami na wcześniejsze pytania z tego zakresu. </w:t>
      </w:r>
    </w:p>
    <w:p w14:paraId="367B0801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</w:p>
    <w:p w14:paraId="28EEDD57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  <w:r w:rsidRPr="00167B48">
        <w:rPr>
          <w:rFonts w:cstheme="minorHAnsi"/>
          <w:b/>
          <w:bCs/>
        </w:rPr>
        <w:t>Pytanie nr 78:</w:t>
      </w:r>
    </w:p>
    <w:p w14:paraId="6EAE1750" w14:textId="77777777" w:rsidR="000A3A74" w:rsidRPr="00167B48" w:rsidRDefault="000A3A74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167B48">
        <w:rPr>
          <w:rFonts w:cstheme="minorHAnsi"/>
        </w:rPr>
        <w:t>Prosimy o informację o długości, parametrach i dokładnym przebiegu na mapie sieci drenarskiej, która jest do przełożenia.</w:t>
      </w:r>
    </w:p>
    <w:p w14:paraId="34598F6E" w14:textId="46DBAF4A" w:rsidR="00001D08" w:rsidRPr="00167B48" w:rsidRDefault="000A3A74" w:rsidP="00167B48">
      <w:pPr>
        <w:pStyle w:val="Tekstpodstawowy"/>
        <w:spacing w:after="0" w:line="319" w:lineRule="auto"/>
        <w:jc w:val="both"/>
        <w:rPr>
          <w:rFonts w:asciiTheme="minorHAnsi" w:hAnsiTheme="minorHAnsi" w:cstheme="minorHAnsi"/>
          <w:b/>
          <w:bCs/>
        </w:rPr>
      </w:pPr>
      <w:r w:rsidRPr="00167B48">
        <w:rPr>
          <w:rFonts w:asciiTheme="minorHAnsi" w:hAnsiTheme="minorHAnsi" w:cstheme="minorHAnsi"/>
          <w:b/>
          <w:bCs/>
        </w:rPr>
        <w:t>Odpowiedź:</w:t>
      </w:r>
      <w:r w:rsidR="00FF6E00" w:rsidRPr="00167B48">
        <w:rPr>
          <w:rFonts w:asciiTheme="minorHAnsi" w:hAnsiTheme="minorHAnsi" w:cstheme="minorHAnsi"/>
          <w:b/>
          <w:bCs/>
        </w:rPr>
        <w:t xml:space="preserve"> </w:t>
      </w:r>
      <w:r w:rsidR="00001D08" w:rsidRPr="00167B48">
        <w:rPr>
          <w:rFonts w:asciiTheme="minorHAnsi" w:hAnsiTheme="minorHAnsi" w:cstheme="minorHAnsi"/>
          <w:b/>
          <w:bCs/>
        </w:rPr>
        <w:t xml:space="preserve">Zamawiający nie posiada inwentaryzacji określającej przebieg rurociągów drenarskich na działce – tą infrastrukturą w całości zarządza Poznański Związek Spółek Wodnych. W tym zakresie należy prace wykonać zgodnie z treścią pisma nr 316/2024 z dnia 20.02.2024 r., które zostało udostępnione wraz z dokumentacją projektową w katalogu DOKUMENTY pod nazwą: PISMO 2024.02.22 - Poznański Związek Spółek Wodnych – skan. </w:t>
      </w:r>
    </w:p>
    <w:p w14:paraId="79102752" w14:textId="77777777" w:rsidR="00167B48" w:rsidRDefault="00167B48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</w:p>
    <w:p w14:paraId="3ED9B33F" w14:textId="77777777" w:rsidR="00167B48" w:rsidRPr="00167B48" w:rsidRDefault="00167B48" w:rsidP="00167B48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</w:rPr>
      </w:pPr>
    </w:p>
    <w:p w14:paraId="7BC1736A" w14:textId="77777777" w:rsidR="00167B48" w:rsidRPr="00167B48" w:rsidRDefault="00167B48" w:rsidP="00167B48">
      <w:pPr>
        <w:spacing w:after="0" w:line="319" w:lineRule="auto"/>
        <w:jc w:val="both"/>
        <w:rPr>
          <w:rFonts w:cstheme="minorHAnsi"/>
          <w:kern w:val="0"/>
          <w14:ligatures w14:val="none"/>
        </w:rPr>
      </w:pPr>
      <w:r w:rsidRPr="00167B48">
        <w:rPr>
          <w:rFonts w:eastAsia="Calibri" w:cstheme="minorHAnsi"/>
          <w:b/>
          <w:bCs/>
          <w:kern w:val="0"/>
          <w14:ligatures w14:val="none"/>
        </w:rPr>
        <w:t xml:space="preserve">2. </w:t>
      </w:r>
      <w:r w:rsidRPr="00167B48">
        <w:rPr>
          <w:rFonts w:cstheme="minorHAnsi"/>
          <w:kern w:val="0"/>
          <w14:ligatures w14:val="none"/>
        </w:rPr>
        <w:t>Biorąc pod uwagę powyższe wyjaśnienia i modyfikację opisu przedmiotu zamówienia, Zamawiający na podstawie art. 286 ust. 3 Pzp, dokonuje zmiany:</w:t>
      </w:r>
    </w:p>
    <w:p w14:paraId="4775A8D0" w14:textId="77777777" w:rsidR="00167B48" w:rsidRPr="00167B48" w:rsidRDefault="00167B48" w:rsidP="00167B48">
      <w:pPr>
        <w:spacing w:after="0" w:line="319" w:lineRule="auto"/>
        <w:ind w:left="284"/>
        <w:contextualSpacing/>
        <w:jc w:val="both"/>
        <w:rPr>
          <w:rFonts w:cstheme="minorHAnsi"/>
          <w:b/>
          <w:bCs/>
          <w:kern w:val="0"/>
          <w14:ligatures w14:val="none"/>
        </w:rPr>
      </w:pPr>
      <w:r w:rsidRPr="00167B48">
        <w:rPr>
          <w:rFonts w:cstheme="minorHAnsi"/>
          <w:b/>
          <w:bCs/>
          <w:kern w:val="0"/>
          <w14:ligatures w14:val="none"/>
        </w:rPr>
        <w:t>- terminu składania ofert do 04.02.2025r. do godz.11.00,</w:t>
      </w:r>
    </w:p>
    <w:p w14:paraId="07D9FE6B" w14:textId="77777777" w:rsidR="00167B48" w:rsidRPr="00167B48" w:rsidRDefault="00167B48" w:rsidP="00167B48">
      <w:pPr>
        <w:spacing w:after="0" w:line="319" w:lineRule="auto"/>
        <w:ind w:left="284"/>
        <w:contextualSpacing/>
        <w:jc w:val="both"/>
        <w:rPr>
          <w:rFonts w:cstheme="minorHAnsi"/>
          <w:b/>
          <w:bCs/>
          <w:kern w:val="0"/>
          <w14:ligatures w14:val="none"/>
        </w:rPr>
      </w:pPr>
      <w:r w:rsidRPr="00167B48">
        <w:rPr>
          <w:rFonts w:cstheme="minorHAnsi"/>
          <w:b/>
          <w:bCs/>
          <w:kern w:val="0"/>
          <w14:ligatures w14:val="none"/>
        </w:rPr>
        <w:t>- terminu otwarcia ofert 04.02.2025r. godz. 11.30,</w:t>
      </w:r>
    </w:p>
    <w:p w14:paraId="510213F4" w14:textId="77777777" w:rsidR="00167B48" w:rsidRPr="00167B48" w:rsidRDefault="00167B48" w:rsidP="00167B48">
      <w:pPr>
        <w:spacing w:after="0" w:line="319" w:lineRule="auto"/>
        <w:ind w:left="284"/>
        <w:contextualSpacing/>
        <w:jc w:val="both"/>
        <w:rPr>
          <w:rFonts w:cstheme="minorHAnsi"/>
          <w:b/>
          <w:bCs/>
          <w:kern w:val="0"/>
          <w14:ligatures w14:val="none"/>
        </w:rPr>
      </w:pPr>
      <w:r w:rsidRPr="00167B48">
        <w:rPr>
          <w:rFonts w:cstheme="minorHAnsi"/>
          <w:b/>
          <w:bCs/>
          <w:kern w:val="0"/>
          <w14:ligatures w14:val="none"/>
        </w:rPr>
        <w:t>- terminu związania ofertą do 05.03.2025r.</w:t>
      </w:r>
    </w:p>
    <w:p w14:paraId="7ADC1C3F" w14:textId="377405D2" w:rsidR="0082705B" w:rsidRPr="00167B48" w:rsidRDefault="0082705B" w:rsidP="00167B48">
      <w:pPr>
        <w:spacing w:after="0" w:line="319" w:lineRule="auto"/>
        <w:jc w:val="both"/>
        <w:rPr>
          <w:rFonts w:cstheme="minorHAnsi"/>
          <w:b/>
          <w:bCs/>
          <w:kern w:val="0"/>
          <w14:ligatures w14:val="none"/>
        </w:rPr>
      </w:pPr>
    </w:p>
    <w:sectPr w:rsidR="0082705B" w:rsidRPr="00167B48" w:rsidSect="00FB5E6A">
      <w:pgSz w:w="11906" w:h="16838"/>
      <w:pgMar w:top="1135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font289">
    <w:altName w:val="Times New Roman"/>
    <w:charset w:val="EE"/>
    <w:family w:val="auto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02E37"/>
    <w:multiLevelType w:val="hybridMultilevel"/>
    <w:tmpl w:val="423A3B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865D87"/>
    <w:multiLevelType w:val="hybridMultilevel"/>
    <w:tmpl w:val="4BBCDF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2C5F4C">
      <w:start w:val="1"/>
      <w:numFmt w:val="bullet"/>
      <w:lvlText w:val="―"/>
      <w:lvlJc w:val="left"/>
      <w:pPr>
        <w:ind w:left="1440" w:hanging="360"/>
      </w:pPr>
      <w:rPr>
        <w:rFonts w:ascii="Calibri" w:hAnsi="Calibri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7C000B"/>
    <w:multiLevelType w:val="hybridMultilevel"/>
    <w:tmpl w:val="C0A89E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A11134"/>
    <w:multiLevelType w:val="hybridMultilevel"/>
    <w:tmpl w:val="6CA451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0991173">
    <w:abstractNumId w:val="1"/>
  </w:num>
  <w:num w:numId="2" w16cid:durableId="1574044945">
    <w:abstractNumId w:val="3"/>
  </w:num>
  <w:num w:numId="3" w16cid:durableId="891426046">
    <w:abstractNumId w:val="0"/>
  </w:num>
  <w:num w:numId="4" w16cid:durableId="12351602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705B"/>
    <w:rsid w:val="00001D08"/>
    <w:rsid w:val="000065C8"/>
    <w:rsid w:val="00006A68"/>
    <w:rsid w:val="00070A18"/>
    <w:rsid w:val="00072CF7"/>
    <w:rsid w:val="00072F25"/>
    <w:rsid w:val="00080FD2"/>
    <w:rsid w:val="0009393F"/>
    <w:rsid w:val="000A328E"/>
    <w:rsid w:val="000A3A74"/>
    <w:rsid w:val="000B53F0"/>
    <w:rsid w:val="00167B48"/>
    <w:rsid w:val="001D2BDD"/>
    <w:rsid w:val="00232F21"/>
    <w:rsid w:val="002449A7"/>
    <w:rsid w:val="0031055F"/>
    <w:rsid w:val="0038744E"/>
    <w:rsid w:val="003E038A"/>
    <w:rsid w:val="00425716"/>
    <w:rsid w:val="00481CA5"/>
    <w:rsid w:val="00524B96"/>
    <w:rsid w:val="00567B40"/>
    <w:rsid w:val="005E4AEF"/>
    <w:rsid w:val="005F6FC6"/>
    <w:rsid w:val="00600B49"/>
    <w:rsid w:val="006178A5"/>
    <w:rsid w:val="006C1891"/>
    <w:rsid w:val="006F4DBA"/>
    <w:rsid w:val="007879CC"/>
    <w:rsid w:val="007A2414"/>
    <w:rsid w:val="007B2E0E"/>
    <w:rsid w:val="00800864"/>
    <w:rsid w:val="00804029"/>
    <w:rsid w:val="00820A32"/>
    <w:rsid w:val="0082705B"/>
    <w:rsid w:val="00872EAA"/>
    <w:rsid w:val="00A805BE"/>
    <w:rsid w:val="00A830D9"/>
    <w:rsid w:val="00A863DD"/>
    <w:rsid w:val="00AA6065"/>
    <w:rsid w:val="00AB05C0"/>
    <w:rsid w:val="00B174A3"/>
    <w:rsid w:val="00B85677"/>
    <w:rsid w:val="00BD5694"/>
    <w:rsid w:val="00BE279C"/>
    <w:rsid w:val="00BF30E1"/>
    <w:rsid w:val="00C50B4A"/>
    <w:rsid w:val="00CA3DC1"/>
    <w:rsid w:val="00CB313A"/>
    <w:rsid w:val="00CC0112"/>
    <w:rsid w:val="00D94CAC"/>
    <w:rsid w:val="00E16023"/>
    <w:rsid w:val="00E70B32"/>
    <w:rsid w:val="00F0202E"/>
    <w:rsid w:val="00F276DD"/>
    <w:rsid w:val="00FB5E6A"/>
    <w:rsid w:val="00FF6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1CFD4C"/>
  <w15:chartTrackingRefBased/>
  <w15:docId w15:val="{4793C3F0-E60D-42CE-A7DE-C260C05D6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270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270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2705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270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2705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270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270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270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270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270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270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2705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2705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2705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2705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2705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2705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2705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270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270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270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270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270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2705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2705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2705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270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2705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2705B"/>
    <w:rPr>
      <w:b/>
      <w:bCs/>
      <w:smallCaps/>
      <w:color w:val="2F5496" w:themeColor="accent1" w:themeShade="BF"/>
      <w:spacing w:val="5"/>
    </w:rPr>
  </w:style>
  <w:style w:type="character" w:customStyle="1" w:styleId="qt-color">
    <w:name w:val="qt-color"/>
    <w:basedOn w:val="Domylnaczcionkaakapitu"/>
    <w:rsid w:val="00820A32"/>
  </w:style>
  <w:style w:type="character" w:styleId="Hipercze">
    <w:name w:val="Hyperlink"/>
    <w:basedOn w:val="Domylnaczcionkaakapitu"/>
    <w:uiPriority w:val="99"/>
    <w:semiHidden/>
    <w:unhideWhenUsed/>
    <w:rsid w:val="00820A32"/>
    <w:rPr>
      <w:color w:val="0000FF"/>
      <w:u w:val="single"/>
    </w:rPr>
  </w:style>
  <w:style w:type="paragraph" w:customStyle="1" w:styleId="qt-msonormal1">
    <w:name w:val="qt-msonormal1"/>
    <w:basedOn w:val="Normalny"/>
    <w:rsid w:val="00232F21"/>
    <w:pPr>
      <w:spacing w:after="0" w:line="240" w:lineRule="auto"/>
    </w:pPr>
    <w:rPr>
      <w:rFonts w:ascii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Tekstpodstawowy">
    <w:name w:val="Body Text"/>
    <w:basedOn w:val="Normalny"/>
    <w:link w:val="TekstpodstawowyZnak"/>
    <w:rsid w:val="00070A18"/>
    <w:pPr>
      <w:suppressAutoHyphens/>
      <w:spacing w:after="140" w:line="276" w:lineRule="auto"/>
    </w:pPr>
    <w:rPr>
      <w:rFonts w:ascii="Calibri" w:eastAsia="Calibri" w:hAnsi="Calibri" w:cs="font289"/>
      <w14:ligatures w14:val="none"/>
    </w:rPr>
  </w:style>
  <w:style w:type="character" w:customStyle="1" w:styleId="TekstpodstawowyZnak">
    <w:name w:val="Tekst podstawowy Znak"/>
    <w:basedOn w:val="Domylnaczcionkaakapitu"/>
    <w:link w:val="Tekstpodstawowy"/>
    <w:rsid w:val="00070A18"/>
    <w:rPr>
      <w:rFonts w:ascii="Calibri" w:eastAsia="Calibri" w:hAnsi="Calibri" w:cs="font289"/>
      <w14:ligatures w14:val="none"/>
    </w:rPr>
  </w:style>
  <w:style w:type="character" w:customStyle="1" w:styleId="highlight">
    <w:name w:val="highlight"/>
    <w:basedOn w:val="Domylnaczcionkaakapitu"/>
    <w:rsid w:val="003E038A"/>
  </w:style>
  <w:style w:type="paragraph" w:styleId="Tekstdymka">
    <w:name w:val="Balloon Text"/>
    <w:basedOn w:val="Normalny"/>
    <w:link w:val="TekstdymkaZnak"/>
    <w:uiPriority w:val="99"/>
    <w:semiHidden/>
    <w:unhideWhenUsed/>
    <w:rsid w:val="00A805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05BE"/>
    <w:rPr>
      <w:rFonts w:ascii="Segoe UI" w:hAnsi="Segoe UI" w:cs="Segoe UI"/>
      <w:sz w:val="18"/>
      <w:szCs w:val="18"/>
    </w:rPr>
  </w:style>
  <w:style w:type="character" w:customStyle="1" w:styleId="color">
    <w:name w:val="color"/>
    <w:basedOn w:val="Domylnaczcionkaakapitu"/>
    <w:rsid w:val="00B856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348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2041</Words>
  <Characters>12250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4</cp:revision>
  <cp:lastPrinted>2025-01-29T08:22:00Z</cp:lastPrinted>
  <dcterms:created xsi:type="dcterms:W3CDTF">2025-01-29T10:17:00Z</dcterms:created>
  <dcterms:modified xsi:type="dcterms:W3CDTF">2025-01-29T11:27:00Z</dcterms:modified>
</cp:coreProperties>
</file>