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9A1C9" w14:textId="77777777" w:rsidR="006D701F" w:rsidRPr="006D701F" w:rsidRDefault="006D701F" w:rsidP="006D701F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D701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Załącznik nr 7 do SIWZ </w:t>
      </w:r>
    </w:p>
    <w:p w14:paraId="33C097CD" w14:textId="77777777" w:rsidR="006D701F" w:rsidRPr="006D701F" w:rsidRDefault="006D701F" w:rsidP="006D701F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E8C7001" w14:textId="77777777" w:rsidR="006D701F" w:rsidRPr="006D701F" w:rsidRDefault="006D701F" w:rsidP="006D701F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CB1E314" w14:textId="77777777" w:rsidR="006D701F" w:rsidRPr="006D701F" w:rsidRDefault="006D701F" w:rsidP="006D701F">
      <w:pPr>
        <w:spacing w:after="0" w:line="240" w:lineRule="auto"/>
        <w:jc w:val="right"/>
        <w:rPr>
          <w:rFonts w:ascii="Arial" w:eastAsia="Times New Roman" w:hAnsi="Arial" w:cs="Arial"/>
          <w:color w:val="FFC000"/>
          <w:kern w:val="0"/>
          <w:sz w:val="16"/>
          <w:szCs w:val="16"/>
          <w:lang w:eastAsia="pl-PL"/>
          <w14:ligatures w14:val="none"/>
        </w:rPr>
      </w:pPr>
    </w:p>
    <w:p w14:paraId="7F6154E6" w14:textId="77777777" w:rsidR="006D701F" w:rsidRPr="006D701F" w:rsidRDefault="006D701F" w:rsidP="006D70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pl-PL"/>
          <w14:ligatures w14:val="none"/>
        </w:rPr>
      </w:pPr>
      <w:r w:rsidRPr="006D701F">
        <w:rPr>
          <w:rFonts w:ascii="Arial" w:eastAsia="Times New Roman" w:hAnsi="Arial" w:cs="Arial"/>
          <w:b/>
          <w:bCs/>
          <w:kern w:val="0"/>
          <w:sz w:val="16"/>
          <w:szCs w:val="16"/>
          <w:lang w:eastAsia="pl-PL"/>
          <w14:ligatures w14:val="none"/>
        </w:rPr>
        <w:t>Projektowane postanowienia umowy</w:t>
      </w:r>
    </w:p>
    <w:p w14:paraId="5402E547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E22BA06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UMOWA KREDYTOWA Nr......................</w:t>
      </w:r>
    </w:p>
    <w:p w14:paraId="65473ADD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78AA2372" w14:textId="60A14136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o udzielenie w 202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4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roku kredytu w wysokości </w:t>
      </w:r>
      <w:r w:rsidR="00D931C4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4.000.000</w:t>
      </w:r>
      <w:r w:rsidRPr="006D701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,00 zł 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dla Gminy 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Mikołajki Pomorskie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. </w:t>
      </w:r>
    </w:p>
    <w:p w14:paraId="321ED396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3A7EF0B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UWAGA: Umowa może być uzupełniona za zgodą Zamawiającego o zapisy wynikające z Prawa bankowego lub regulaminu banku jednak wyłącznie w zakresie nie powodującym zasadniczych zmian przedstawionych warunków handlowych niekorzystnych dla Zamawiającego. </w:t>
      </w:r>
    </w:p>
    <w:p w14:paraId="3C8A52C3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2195CD8C" w14:textId="2BF2DB52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W dniu ....................... w </w:t>
      </w:r>
      <w:r w:rsidR="00AB55F6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Mikołajkach Pomorskich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pomiędzy Bankiem .............................................................................. ............................................................................................................................................. zwanym dalej „Bankiem”, reprezentowanym przez:</w:t>
      </w:r>
    </w:p>
    <w:p w14:paraId="0AFB2B03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1. ................................................................ - ...............................................</w:t>
      </w:r>
    </w:p>
    <w:p w14:paraId="60ADB993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2. ................................................................ - ...............................................</w:t>
      </w:r>
    </w:p>
    <w:p w14:paraId="03B5320B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3. ................................................................ - ............................................... </w:t>
      </w:r>
    </w:p>
    <w:p w14:paraId="594D8A37" w14:textId="26469536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a Gminą 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Mikołajki Pomorskie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z siedzibą w 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Mikołajkach Pomorskich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ul. </w:t>
      </w:r>
      <w:r w:rsidR="00AB55F6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Dzierzgońska 2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 zwaną dalej „Kredytobiorcą”, reprezentowaną przez: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Wójta Gminy Mikołajki Pomorskie 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– ........................................................... przy kontrasygnacie Skarbnika Gminy </w:t>
      </w:r>
      <w:r w:rsidR="00AB55F6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Mikołajki Pomorskie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…………………………………………………………................................... została zawarta umowa o następującej treści: </w:t>
      </w:r>
    </w:p>
    <w:p w14:paraId="0EBC3EFE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6C95609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§ 1.</w:t>
      </w:r>
    </w:p>
    <w:p w14:paraId="54F68736" w14:textId="600196B9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Bank udziela Kredytobiorcy, na podstawie przeprowadzonego postępowania w trybie ustawy z dnia             11 września 2019 r. Prawo zamówień publicznych (tekst jednolity: Dz. U. z 2023 r. poz. 1605 ze zm.), na warunkach określonych niniejszą umową, długoterminowego kredytu w wysokości 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4.000.000,00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zł (słownie: 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cztery miliony 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zł 00/100), w tym na:</w:t>
      </w:r>
    </w:p>
    <w:p w14:paraId="10AE0AB2" w14:textId="0CC742BD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- finansowanie planowanego deficytu budżetu gminy 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Mikołajki Pomorskie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–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3.300.0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00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,00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zł,</w:t>
      </w:r>
    </w:p>
    <w:p w14:paraId="7FDD0D9A" w14:textId="440CFDCC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- spłatę wcześniej zaciągniętych zobowiązań z tytułu kredytów i pożyczek – 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70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0.000,00 zł.  </w:t>
      </w:r>
    </w:p>
    <w:p w14:paraId="5E5FBCF6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19E1187D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§ 2.</w:t>
      </w:r>
    </w:p>
    <w:p w14:paraId="6B753532" w14:textId="1D1C08B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1. Bank stawia, po uzyskaniu zabezpieczenia określonego w § 5 umowy, do dyspozycji Kredytobiorcy od dnia zawarcia umowy kredytowej do </w:t>
      </w:r>
      <w:r w:rsidRPr="00DF13BC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2</w:t>
      </w:r>
      <w:r w:rsidR="00D931C4" w:rsidRPr="00DF13BC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7</w:t>
      </w:r>
      <w:r w:rsidRPr="00DF13BC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grudnia 202</w:t>
      </w:r>
      <w:r w:rsidR="00D931C4" w:rsidRPr="00DF13BC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4</w:t>
      </w:r>
      <w:r w:rsidRPr="006D701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r. 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kredyt w kwocie </w:t>
      </w:r>
      <w:r w:rsidR="00D931C4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4.000.000</w:t>
      </w:r>
      <w:r w:rsidRPr="006D701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,00 zł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(słownie: 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cztery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miliony zł 00/100) w terminach i transzach dostosowanych do potrzeb zamawiającego.</w:t>
      </w:r>
    </w:p>
    <w:p w14:paraId="0A86AB70" w14:textId="56176F4B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2. Bank uruchomi środki w formie przelewu na rachunek Gminy </w:t>
      </w:r>
      <w:r w:rsidR="00D931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Mikołajki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AB55F6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Pomorskie 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nr </w:t>
      </w:r>
      <w:bookmarkStart w:id="0" w:name="_Hlk169700044"/>
      <w:r w:rsidR="00DD5BFC">
        <w:t>66 8309 0000 00000130 2000 0020</w:t>
      </w:r>
      <w:bookmarkEnd w:id="0"/>
      <w:r w:rsidR="00DD5BFC">
        <w:t xml:space="preserve"> 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w Banku</w:t>
      </w:r>
      <w:r w:rsidR="00DD5BFC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Spółdzielczym w Sztumie</w:t>
      </w: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 ciągu 3 dni od dnia złożenia pisemnej dyspozycji uruchomienia transz kredytu (dopuszcza się możliwość przesłania pisemnego polecenia za pomocą fax-u lub poczty elektronicznej).</w:t>
      </w:r>
    </w:p>
    <w:p w14:paraId="6B6BAD4B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3. Bank nie pobierze z tytułu uruchomienia kredytu żadnych prowizji ani innych opłat związanych                   z uruchomieniem, zabezpieczeniem oraz obsługą kredytu w całym okresie kredytowania. </w:t>
      </w:r>
    </w:p>
    <w:p w14:paraId="1CE40CA3" w14:textId="77777777" w:rsidR="006D701F" w:rsidRPr="006D701F" w:rsidRDefault="006D701F" w:rsidP="006D701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 xml:space="preserve">4. </w:t>
      </w:r>
      <w:r w:rsidRPr="006D701F">
        <w:rPr>
          <w:rFonts w:ascii="Arial" w:eastAsia="Calibri" w:hAnsi="Arial" w:cs="Arial"/>
          <w:color w:val="000000"/>
          <w:sz w:val="20"/>
          <w:szCs w:val="20"/>
          <w14:ligatures w14:val="none"/>
        </w:rPr>
        <w:t xml:space="preserve">Zamawiający zastrzega sobie prawo do uzyskania bez prowizji i opłat – w ramach udzielonego kredytu – </w:t>
      </w:r>
      <w:r w:rsidRPr="006D701F">
        <w:rPr>
          <w:rFonts w:ascii="Arial" w:eastAsia="Calibri" w:hAnsi="Arial" w:cs="Arial"/>
          <w:sz w:val="20"/>
          <w:szCs w:val="20"/>
          <w14:ligatures w14:val="none"/>
        </w:rPr>
        <w:t>zwrotu środków płatniczych na swój rachunek bieżący w przypadkach spłaty wcześniej zaciągniętych zobowiązań tytułu kredytów i pożyczek oraz opłacenia faktur inwestycyjnych z własnych środków przed podpisaniem umowy kredytowej oraz w innych uzasadnionych przypadkach.</w:t>
      </w:r>
    </w:p>
    <w:p w14:paraId="73C57C63" w14:textId="2D37BB6B" w:rsidR="006D701F" w:rsidRPr="006D701F" w:rsidRDefault="006D701F" w:rsidP="006D701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>5. Okres kredytowania do dnia 30 grudnia 20</w:t>
      </w:r>
      <w:r w:rsidR="00AB55F6">
        <w:rPr>
          <w:rFonts w:ascii="Arial" w:eastAsia="Calibri" w:hAnsi="Arial" w:cs="Arial"/>
          <w:sz w:val="20"/>
          <w:szCs w:val="20"/>
          <w14:ligatures w14:val="none"/>
        </w:rPr>
        <w:t>32</w:t>
      </w:r>
      <w:r w:rsidRPr="006D701F">
        <w:rPr>
          <w:rFonts w:ascii="Arial" w:eastAsia="Calibri" w:hAnsi="Arial" w:cs="Arial"/>
          <w:sz w:val="20"/>
          <w:szCs w:val="20"/>
          <w14:ligatures w14:val="none"/>
        </w:rPr>
        <w:t xml:space="preserve"> roku.</w:t>
      </w:r>
    </w:p>
    <w:p w14:paraId="7A41E47D" w14:textId="66796204" w:rsidR="006D701F" w:rsidRPr="006D701F" w:rsidRDefault="006D701F" w:rsidP="006D701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>6. Karencja w spłacie kredytu do dnia 30 marca 202</w:t>
      </w:r>
      <w:r w:rsidR="00AB55F6">
        <w:rPr>
          <w:rFonts w:ascii="Arial" w:eastAsia="Calibri" w:hAnsi="Arial" w:cs="Arial"/>
          <w:sz w:val="20"/>
          <w:szCs w:val="20"/>
          <w14:ligatures w14:val="none"/>
        </w:rPr>
        <w:t>6</w:t>
      </w:r>
      <w:r w:rsidRPr="006D701F">
        <w:rPr>
          <w:rFonts w:ascii="Arial" w:eastAsia="Calibri" w:hAnsi="Arial" w:cs="Arial"/>
          <w:sz w:val="20"/>
          <w:szCs w:val="20"/>
          <w14:ligatures w14:val="none"/>
        </w:rPr>
        <w:t xml:space="preserve"> roku. </w:t>
      </w:r>
    </w:p>
    <w:p w14:paraId="4CE7796F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72A720F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§ 3.</w:t>
      </w:r>
    </w:p>
    <w:p w14:paraId="6266A860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7565F8B" w14:textId="77777777" w:rsidR="006D701F" w:rsidRPr="006D701F" w:rsidRDefault="006D701F" w:rsidP="006D701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 xml:space="preserve">1. Oprocentowanie wykorzystanego kredytu będzie liczone według zmiennej stawki WIBOR dla depozytów trzymiesięcznych, liczonej jako średnia arytmetyczna z ostatnich </w:t>
      </w:r>
      <w:r w:rsidRPr="006D701F">
        <w:rPr>
          <w:rFonts w:ascii="Arial" w:eastAsia="Calibri" w:hAnsi="Arial" w:cs="Arial"/>
          <w:b/>
          <w:bCs/>
          <w:sz w:val="20"/>
          <w:szCs w:val="20"/>
          <w14:ligatures w14:val="none"/>
        </w:rPr>
        <w:t xml:space="preserve">5-ciu oficjalnych dni notowań stawek WIBOR 3M przed rozpoczęciem kolejnego okresu odsetkowego (kwartału)                        i obowiązuje przez okres następnego kwartału, </w:t>
      </w:r>
      <w:r w:rsidRPr="006D701F">
        <w:rPr>
          <w:rFonts w:ascii="Arial" w:eastAsia="Calibri" w:hAnsi="Arial" w:cs="Arial"/>
          <w:sz w:val="20"/>
          <w:szCs w:val="20"/>
          <w14:ligatures w14:val="none"/>
        </w:rPr>
        <w:t>powiększonej lub pomniejszonej o stałą ustaloną                    w ofercie marżę banku wyrażoną w punktach procentowych. W dniu zawarcia umowy stawka bazowa wynosi … marża Banku wynosi ….. . Na dzień podpisania umowy oprocentowanie wynosi …                            w stosunku rocznym.</w:t>
      </w:r>
    </w:p>
    <w:p w14:paraId="679C03DA" w14:textId="77777777" w:rsidR="006D701F" w:rsidRPr="006D701F" w:rsidRDefault="006D701F" w:rsidP="006D701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sz w:val="20"/>
          <w:szCs w:val="20"/>
          <w14:ligatures w14:val="none"/>
        </w:rPr>
        <w:lastRenderedPageBreak/>
        <w:t xml:space="preserve">2. Określone w chwili zawierania umowy oprocentowanie może ulegać w okresie umownym zmianom tylko w przypadku zmiany stawki WIBOR dla depozytów trzymiesięcznych (stopa bazowa). Marża                w okresie kredytowania – obowiązywania umowy jest stała. </w:t>
      </w:r>
    </w:p>
    <w:p w14:paraId="674CB06A" w14:textId="77777777" w:rsidR="006D701F" w:rsidRPr="006D701F" w:rsidRDefault="006D701F" w:rsidP="006D701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sz w:val="20"/>
          <w:szCs w:val="20"/>
          <w14:ligatures w14:val="none"/>
        </w:rPr>
        <w:t xml:space="preserve">3. </w:t>
      </w:r>
      <w:r w:rsidRPr="006D701F">
        <w:rPr>
          <w:rFonts w:ascii="Arial" w:eastAsia="Calibri" w:hAnsi="Arial" w:cs="Arial"/>
          <w:sz w:val="20"/>
          <w:szCs w:val="20"/>
          <w14:ligatures w14:val="none"/>
        </w:rPr>
        <w:t>W przypadku likwidacji stawki WIBOR 3M zostanie ona, za porozumieniem stron zamieniona                    na stawkę, która zastąpi stawkę WIBOR 3M, albo stawkę najbardziej zbliżoną wielkością i charakterem do stawki WIBOR 3M bez kosztów obciążających Zamawiającego.</w:t>
      </w:r>
    </w:p>
    <w:p w14:paraId="0418B3C5" w14:textId="1F3EE063" w:rsidR="006D701F" w:rsidRPr="006D701F" w:rsidRDefault="006D701F" w:rsidP="006D701F">
      <w:pPr>
        <w:spacing w:line="240" w:lineRule="auto"/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>4. O fakcie wprowadzenia, w okresie obowiązywania umowy o kredyt, nowej stopy bazowej, Bank zawiadomi pisemnie Kredytobiorcę (np. pismem poleconym, na adres e-mail: skarbnik@</w:t>
      </w:r>
      <w:r w:rsidR="00DF13BC">
        <w:rPr>
          <w:rFonts w:ascii="Arial" w:eastAsia="Calibri" w:hAnsi="Arial" w:cs="Arial"/>
          <w:sz w:val="20"/>
          <w:szCs w:val="20"/>
          <w14:ligatures w14:val="none"/>
        </w:rPr>
        <w:t>mikolajkipomorskie</w:t>
      </w:r>
      <w:r w:rsidRPr="006D701F">
        <w:rPr>
          <w:rFonts w:ascii="Arial" w:eastAsia="Calibri" w:hAnsi="Arial" w:cs="Arial"/>
          <w:sz w:val="20"/>
          <w:szCs w:val="20"/>
          <w14:ligatures w14:val="none"/>
        </w:rPr>
        <w:t>.pl).</w:t>
      </w:r>
    </w:p>
    <w:p w14:paraId="42B53733" w14:textId="77777777" w:rsidR="006D701F" w:rsidRPr="006D701F" w:rsidRDefault="006D701F" w:rsidP="006D701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>5. Odsetki należne naliczane będą tylko od kwoty rzeczywistego zadłużenia. Naliczenia odsetek dokonuje się w ostatni dzień każdego miesiąca. Odsetki spłacane będą w okresach kwartalnych. Spłaty odsetek będą dokonywane w terminie 7 dni od daty otrzymania noty obciążeniowej o wysokości naliczonych odsetek, za wyjątkiem obciążenia za IV kwartał, które powinno nastąpić do dnia 30 grudnia każdego roku (jeżeli termin ten przypada w sobotę lub dzień uznany ustawowo za wolny od pracy,                    w pierwszym dniu roboczym poprzedzającym ten termin).</w:t>
      </w:r>
    </w:p>
    <w:p w14:paraId="3D1386EE" w14:textId="77777777" w:rsidR="006D701F" w:rsidRPr="006D701F" w:rsidRDefault="006D701F" w:rsidP="006D701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>6</w:t>
      </w:r>
      <w:r w:rsidRPr="006D701F">
        <w:rPr>
          <w:rFonts w:ascii="Arial" w:eastAsia="Calibri" w:hAnsi="Arial" w:cs="Arial"/>
          <w:color w:val="000000"/>
          <w:sz w:val="20"/>
          <w:szCs w:val="20"/>
          <w14:ligatures w14:val="none"/>
        </w:rPr>
        <w:t>. Za spłatę odsetek należy przyjąć dzień wpływu należności na rachunek Wykonawcy. Jeżeli termin płatności przypada na dzień uznany za ustawowo wolny od pracy, spłata odsetek następuje w pierwszym dniu roboczym przypadającym po dniu ustawowo wolnym od pracy.</w:t>
      </w:r>
    </w:p>
    <w:p w14:paraId="312C256A" w14:textId="77777777" w:rsidR="006D701F" w:rsidRPr="006D701F" w:rsidRDefault="006D701F" w:rsidP="006D701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sz w:val="20"/>
          <w:szCs w:val="20"/>
          <w14:ligatures w14:val="none"/>
        </w:rPr>
        <w:t>7. Przy naliczaniu odsetek przyjmuje się, że miesiąc ma rzeczywistą liczbę dni kalendarzowych, natomiast rok równa się rzeczywistej liczbie dni tj. 365/366 dni.</w:t>
      </w:r>
    </w:p>
    <w:p w14:paraId="05A41BE4" w14:textId="77777777" w:rsidR="006D701F" w:rsidRPr="006D701F" w:rsidRDefault="006D701F" w:rsidP="006D701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sz w:val="20"/>
          <w:szCs w:val="20"/>
          <w14:ligatures w14:val="none"/>
        </w:rPr>
        <w:t>8. Kapitalizacja odsetek jest niedopuszczalna.</w:t>
      </w:r>
    </w:p>
    <w:p w14:paraId="03CEBF24" w14:textId="77777777" w:rsidR="006D701F" w:rsidRPr="006D701F" w:rsidRDefault="006D701F" w:rsidP="006D701F">
      <w:pPr>
        <w:spacing w:line="240" w:lineRule="auto"/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 xml:space="preserve">9. Odsetki od wykorzystanego kredytu będą płatne przez Kredytobiorcę na rachunek .................................................................. </w:t>
      </w:r>
    </w:p>
    <w:p w14:paraId="2D877C3B" w14:textId="77777777" w:rsidR="006D701F" w:rsidRPr="006D701F" w:rsidRDefault="006D701F" w:rsidP="006D701F">
      <w:pPr>
        <w:spacing w:line="240" w:lineRule="auto"/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>10. W przypadku, gdy stawka WIBOR, o której mowa w ust. 1 osiągnie poziom poniżej 0 (zera), strony Umowy zgodnie postanawiają, że do czasu osiągnięcia przez tę stawkę wartości dodatniej,                                    do wyliczenia oprocentowania Kredytu przyjęta zostanie stawka równa 0 (zero).</w:t>
      </w:r>
    </w:p>
    <w:p w14:paraId="41B5A718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D81E61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§ 4.</w:t>
      </w:r>
    </w:p>
    <w:p w14:paraId="2E126733" w14:textId="6692AB44" w:rsidR="006D701F" w:rsidRPr="00DD5BFC" w:rsidRDefault="00DD5BFC" w:rsidP="00DD5BFC">
      <w:pPr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  <w14:ligatures w14:val="none"/>
        </w:rPr>
      </w:pPr>
      <w:r>
        <w:rPr>
          <w:rFonts w:ascii="Arial" w:eastAsia="Calibri" w:hAnsi="Arial" w:cs="Arial"/>
          <w:sz w:val="20"/>
          <w:szCs w:val="20"/>
          <w14:ligatures w14:val="none"/>
        </w:rPr>
        <w:t xml:space="preserve">1. </w:t>
      </w:r>
      <w:r w:rsidR="006D701F" w:rsidRPr="00DD5BFC">
        <w:rPr>
          <w:rFonts w:ascii="Arial" w:eastAsia="Calibri" w:hAnsi="Arial" w:cs="Arial"/>
          <w:sz w:val="20"/>
          <w:szCs w:val="20"/>
          <w14:ligatures w14:val="none"/>
        </w:rPr>
        <w:t xml:space="preserve">Kredytobiorca zobowiązuje się do spłaty kredytu na rachunek Banku nr ........................................... w Banku ............................................... w kwotach i terminach określonych </w:t>
      </w:r>
      <w:r w:rsidR="006D701F" w:rsidRPr="00DD5BFC">
        <w:rPr>
          <w:rFonts w:ascii="Arial" w:eastAsia="Calibri" w:hAnsi="Arial" w:cs="Arial"/>
          <w:color w:val="000000"/>
          <w:sz w:val="20"/>
          <w:szCs w:val="20"/>
          <w14:ligatures w14:val="none"/>
        </w:rPr>
        <w:t>zgodnie z poniższym harmonogramem:</w:t>
      </w:r>
    </w:p>
    <w:p w14:paraId="360EB329" w14:textId="77777777" w:rsidR="00DD5BFC" w:rsidRDefault="00DD5BFC" w:rsidP="00DD5BFC">
      <w:pPr>
        <w:pStyle w:val="Akapitzlist"/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2038" w:type="dxa"/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687"/>
      </w:tblGrid>
      <w:tr w:rsidR="00DD5BFC" w14:paraId="42842463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47FA" w14:textId="77777777" w:rsidR="00DD5BFC" w:rsidRDefault="00DD5BFC" w:rsidP="00124133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115"/>
                <w:sz w:val="20"/>
              </w:rPr>
              <w:t>R</w:t>
            </w:r>
            <w:r>
              <w:rPr>
                <w:rFonts w:ascii="Times New Roman"/>
                <w:spacing w:val="-1"/>
                <w:w w:val="115"/>
                <w:sz w:val="20"/>
              </w:rPr>
              <w:t>ata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F0AA6" w14:textId="77777777" w:rsidR="00DD5BFC" w:rsidRDefault="00DD5BFC" w:rsidP="00124133">
            <w:pPr>
              <w:pStyle w:val="TableParagraph"/>
              <w:spacing w:line="228" w:lineRule="exact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Termin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8716D" w14:textId="77777777" w:rsidR="00DD5BFC" w:rsidRDefault="00DD5BFC" w:rsidP="00124133">
            <w:pPr>
              <w:pStyle w:val="TableParagraph"/>
              <w:spacing w:line="228" w:lineRule="exact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0"/>
                <w:sz w:val="20"/>
              </w:rPr>
              <w:t>Kwota</w:t>
            </w:r>
            <w:proofErr w:type="spellEnd"/>
          </w:p>
        </w:tc>
      </w:tr>
      <w:tr w:rsidR="00DD5BFC" w14:paraId="18ECA8B1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4AFDF" w14:textId="77777777" w:rsidR="00DD5BFC" w:rsidRDefault="00DD5BFC" w:rsidP="00124133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BE9E9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30.03.2026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F9958B3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5CA721D5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043B9" w14:textId="77777777" w:rsidR="00DD5BFC" w:rsidRDefault="00DD5BFC" w:rsidP="00124133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2FD9A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30.06.2026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C7DE47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5A4A6319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D2A1" w14:textId="77777777" w:rsidR="00DD5BFC" w:rsidRDefault="00DD5BFC" w:rsidP="00124133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233B1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30.09.2026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0A5F8E5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71D83207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A439" w14:textId="77777777" w:rsidR="00DD5BFC" w:rsidRDefault="00DD5BFC" w:rsidP="00124133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11F5D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30.12.2026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12CE19E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17128ABA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42943" w14:textId="77777777" w:rsidR="00DD5BFC" w:rsidRDefault="00DD5BFC" w:rsidP="00124133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FA669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8FF763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7B091645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0BB7E" w14:textId="77777777" w:rsidR="00DD5BFC" w:rsidRDefault="00DD5BFC" w:rsidP="00124133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593E9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80821E4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52483CAB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84B3B" w14:textId="77777777" w:rsidR="00DD5BFC" w:rsidRDefault="00DD5BFC" w:rsidP="00124133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DB25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595E393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586FB386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C43CA" w14:textId="77777777" w:rsidR="00DD5BFC" w:rsidRDefault="00DD5BFC" w:rsidP="00124133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163CA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30.12.2027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BEE1A31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62023DD0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700D5" w14:textId="77777777" w:rsidR="00DD5BFC" w:rsidRDefault="00DD5BFC" w:rsidP="00124133">
            <w:pPr>
              <w:pStyle w:val="TableParagraph"/>
              <w:spacing w:line="228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7CD76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30.03.2028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391F8CB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2B455BB5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A4C00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26402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30.06.2028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D93698E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69C7957B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BF08B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CA67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30.09.2028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E0CBD51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4DFBF58F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E6D59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5A4C2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30.12.2028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83E6D82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213EA27A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846EA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24A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BE87E35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64DEA8D7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BF975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E0739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FF7EA26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70CD58C1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035D1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D7A7B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1F07536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6F01AD8B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2D08A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6EB52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30.12.2029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2CE4A34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/>
                <w:spacing w:val="-1"/>
                <w:w w:val="110"/>
                <w:sz w:val="20"/>
              </w:rPr>
              <w:t>120.000,00</w:t>
            </w:r>
          </w:p>
        </w:tc>
      </w:tr>
      <w:tr w:rsidR="00DD5BFC" w14:paraId="66E6EBCB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B999E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17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1206E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761A96" w14:textId="71842EDC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</w:tbl>
    <w:p w14:paraId="43F0BBF6" w14:textId="77777777" w:rsidR="00DD5BFC" w:rsidRDefault="00DD5BFC" w:rsidP="00DD5BFC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  <w:sectPr w:rsidR="00DD5BFC" w:rsidSect="00DD5BFC">
          <w:pgSz w:w="11910" w:h="16840"/>
          <w:pgMar w:top="1200" w:right="1160" w:bottom="1140" w:left="1680" w:header="0" w:footer="947" w:gutter="0"/>
          <w:cols w:space="708"/>
        </w:sectPr>
      </w:pPr>
    </w:p>
    <w:p w14:paraId="0567B7D1" w14:textId="77777777" w:rsidR="00DD5BFC" w:rsidRDefault="00DD5BFC" w:rsidP="00DD5BF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2038" w:type="dxa"/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687"/>
      </w:tblGrid>
      <w:tr w:rsidR="00DD5BFC" w14:paraId="2C9806AF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39288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961CB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98248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DD5BFC" w14:paraId="5FC396BA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2B3C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87775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BBB77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DD5BFC" w14:paraId="75520719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36E2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69BA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CAE27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DD5BFC" w14:paraId="3ACF125B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750BA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0D925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30.03.2031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737A8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DD5BFC" w14:paraId="32AEA3F0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FFD3C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2A7E8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30.06.2031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06991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DD5BFC" w14:paraId="2B2E7511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3F3DE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F8902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30.09.2031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7C0DB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DD5BFC" w14:paraId="153C8D93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DC90B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689DB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30.12.2031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6EBF" w14:textId="77777777" w:rsidR="00DD5BFC" w:rsidRPr="00F464AA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DD5BFC" w14:paraId="38202B7E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015D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13922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30.03.2032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999DB" w14:textId="77777777" w:rsidR="00DD5BFC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240.000,00</w:t>
            </w:r>
          </w:p>
        </w:tc>
      </w:tr>
      <w:tr w:rsidR="00DD5BFC" w14:paraId="03073407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15ECF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0378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30.06.2032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4C505" w14:textId="77777777" w:rsidR="00DD5BFC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B0C">
              <w:rPr>
                <w:rFonts w:ascii="Times New Roman"/>
                <w:spacing w:val="-1"/>
                <w:w w:val="110"/>
                <w:sz w:val="20"/>
              </w:rPr>
              <w:t>240.000,00</w:t>
            </w:r>
          </w:p>
        </w:tc>
      </w:tr>
      <w:tr w:rsidR="00DD5BFC" w14:paraId="24535B47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3908A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27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C71D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30.09.2032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F913B" w14:textId="77777777" w:rsidR="00DD5BFC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B0C">
              <w:rPr>
                <w:rFonts w:ascii="Times New Roman"/>
                <w:spacing w:val="-1"/>
                <w:w w:val="110"/>
                <w:sz w:val="20"/>
              </w:rPr>
              <w:t>240.000,00</w:t>
            </w:r>
          </w:p>
        </w:tc>
      </w:tr>
      <w:tr w:rsidR="00DD5BFC" w14:paraId="45F0C916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17A47" w14:textId="77777777" w:rsidR="00DD5BFC" w:rsidRDefault="00DD5BFC" w:rsidP="00124133">
            <w:pPr>
              <w:pStyle w:val="TableParagraph"/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28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CB435" w14:textId="77777777" w:rsidR="00DD5BFC" w:rsidRDefault="00DD5BFC" w:rsidP="00124133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30.12.2032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A3ADC" w14:textId="77777777" w:rsidR="00DD5BFC" w:rsidRDefault="00DD5BFC" w:rsidP="00124133">
            <w:pPr>
              <w:pStyle w:val="TableParagraph"/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16</w:t>
            </w:r>
            <w:r w:rsidRPr="00211B0C">
              <w:rPr>
                <w:rFonts w:ascii="Times New Roman"/>
                <w:spacing w:val="-1"/>
                <w:w w:val="110"/>
                <w:sz w:val="20"/>
              </w:rPr>
              <w:t>0.000,00</w:t>
            </w:r>
          </w:p>
        </w:tc>
      </w:tr>
      <w:tr w:rsidR="00DD5BFC" w14:paraId="0FD6368A" w14:textId="77777777" w:rsidTr="00124133">
        <w:trPr>
          <w:trHeight w:hRule="exact" w:val="2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2F8D" w14:textId="77777777" w:rsidR="00DD5BFC" w:rsidRDefault="00DD5BFC" w:rsidP="00124133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016E6" w14:textId="77777777" w:rsidR="00DD5BFC" w:rsidRDefault="00DD5BFC" w:rsidP="00124133">
            <w:pPr>
              <w:pStyle w:val="TableParagraph"/>
              <w:spacing w:line="228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115"/>
                <w:sz w:val="20"/>
              </w:rPr>
              <w:t>Razem</w:t>
            </w:r>
            <w:proofErr w:type="spellEnd"/>
            <w:r>
              <w:rPr>
                <w:rFonts w:ascii="Times New Roman"/>
                <w:w w:val="115"/>
                <w:sz w:val="20"/>
              </w:rPr>
              <w:t>: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7E3A" w14:textId="77777777" w:rsidR="00DD5BFC" w:rsidRDefault="00DD5BFC" w:rsidP="00124133">
            <w:pPr>
              <w:pStyle w:val="TableParagraph"/>
              <w:spacing w:line="228" w:lineRule="exact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 xml:space="preserve"> 4.000.000,00</w:t>
            </w:r>
          </w:p>
        </w:tc>
      </w:tr>
    </w:tbl>
    <w:p w14:paraId="68E6F121" w14:textId="77777777" w:rsidR="00DD5BFC" w:rsidRPr="00DD5BFC" w:rsidRDefault="00DD5BFC" w:rsidP="00DD5BFC">
      <w:pPr>
        <w:pStyle w:val="Akapitzlist"/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  <w14:ligatures w14:val="none"/>
        </w:rPr>
      </w:pPr>
    </w:p>
    <w:p w14:paraId="610B7013" w14:textId="77777777" w:rsidR="006D701F" w:rsidRPr="006D701F" w:rsidRDefault="006D701F" w:rsidP="006D701F">
      <w:pPr>
        <w:spacing w:line="240" w:lineRule="auto"/>
        <w:rPr>
          <w:rFonts w:ascii="Arial" w:eastAsia="Calibri" w:hAnsi="Arial" w:cs="Arial"/>
          <w:sz w:val="20"/>
          <w:szCs w:val="20"/>
          <w14:ligatures w14:val="none"/>
        </w:rPr>
      </w:pPr>
    </w:p>
    <w:p w14:paraId="0ED77F24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2. Za dzień spłaty kredytu lub jego raty uważa się dzień wpływu kwoty na rachunek, o którym mowa  w ust. 1. Jeżeli termin płatności przypada na dzień uznany za ustawowo wolny od pracy, spłata kredytu następuje w pierwszym dniu roboczym przypadającym po dniu ustawowo wolnym od pracy.                              3. Niespłacenie przez Kredytobiorcę kredytu lub jego części w terminach określonych w ust 1, spowoduje przeniesienie niespłaconej w terminie kwoty kredytu na rachunek kredytu przeterminowanego, oprocentowanego według stawki dla zadłużenia przeterminowanego obowiązującego w Banku.                                                                                                                                                              </w:t>
      </w:r>
    </w:p>
    <w:p w14:paraId="7C3553AD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4. Odsetki za czas opóźnienia pobiera się za każdy dzień zwłoki począwszy od następnego dnia po upływie terminu płatności, do dnia dokonania wpłaty włącznie tj. uznania rachunku bankowego Kredytodawcy. </w:t>
      </w:r>
    </w:p>
    <w:p w14:paraId="24D81E9E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5. W razie niezaspokojenia swojego roszczenia, o którym mowa w ust. 3 w ciągu 10 dni kalendarzowych, Kredytodawca przystąpi do odzyskania swoich wierzytelności wraz z odsetkami                    z zabezpieczenia, o którym mowa w § 5.</w:t>
      </w:r>
    </w:p>
    <w:p w14:paraId="121B562A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6. W przypadku niespłacenia odsetek w terminach określonych w § 3 ust.6, Kredytodawca stosuje odpowiednio postanowienia § 4 ust.3 i ust.5. </w:t>
      </w:r>
    </w:p>
    <w:p w14:paraId="3DC536AA" w14:textId="77777777" w:rsidR="006D701F" w:rsidRPr="006D701F" w:rsidRDefault="006D701F" w:rsidP="006D701F">
      <w:pPr>
        <w:widowControl w:val="0"/>
        <w:tabs>
          <w:tab w:val="left" w:pos="142"/>
          <w:tab w:val="left" w:pos="284"/>
          <w:tab w:val="left" w:pos="3840"/>
        </w:tabs>
        <w:suppressAutoHyphens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>7. Kredytobiorca zastrzega sobie prawo do nie wykorzystania kredytu, a także do wykorzystania niższej od określonej w umowie kredytowej kwoty kredytu bez kosztów obciążających Zamawiającego.</w:t>
      </w:r>
    </w:p>
    <w:p w14:paraId="51CEF471" w14:textId="77777777" w:rsidR="006D701F" w:rsidRPr="006D701F" w:rsidRDefault="006D701F" w:rsidP="006D70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sz w:val="20"/>
          <w:szCs w:val="20"/>
          <w14:ligatures w14:val="none"/>
        </w:rPr>
        <w:t>8. W przypadku zmniejszenia ogólnej kwoty kredytu Bank dokona aktualizacji „Harmonogramu spłat rat kapitałowych ”, bez kosztów obciążających Kredytobiorcę.</w:t>
      </w:r>
    </w:p>
    <w:p w14:paraId="0B848758" w14:textId="77777777" w:rsidR="006D701F" w:rsidRPr="006D701F" w:rsidRDefault="006D701F" w:rsidP="006D70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sz w:val="20"/>
          <w:szCs w:val="20"/>
          <w14:ligatures w14:val="none"/>
        </w:rPr>
        <w:t xml:space="preserve">9. Kredytobiorca zastrzega sobie prawo do spłaty kredytu w całości lub części przed terminem spłaty wynikającym z umowy kredytowej bez uprzedniego powiadomienia Banku i ponoszenia związanych                z tym kosztów. W przypadku wcześniejszej, częściowej spłaty kredytu, okres kredytowania pozostaje bez zmian, chyba, że Kredytobiorca złoży odmienną dyspozycje na piśmie. </w:t>
      </w:r>
    </w:p>
    <w:p w14:paraId="7648EAD8" w14:textId="77777777" w:rsidR="006D701F" w:rsidRPr="006D701F" w:rsidRDefault="006D701F" w:rsidP="006D70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sz w:val="20"/>
          <w:szCs w:val="20"/>
          <w14:ligatures w14:val="none"/>
        </w:rPr>
        <w:t>10. W przypadku wcześniejszej częściowej spłaty kredytu zamawiający zastrzega sobie prawo wskazania konkretnej raty lub rat kredytu, które mają podlegać wcześniejszej spłacie.</w:t>
      </w:r>
    </w:p>
    <w:p w14:paraId="6666634B" w14:textId="77777777" w:rsidR="006D701F" w:rsidRPr="006D701F" w:rsidRDefault="006D701F" w:rsidP="006D701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sz w:val="20"/>
          <w:szCs w:val="20"/>
          <w14:ligatures w14:val="none"/>
        </w:rPr>
        <w:t>11. Zamawiający zastrzega sobie prawo do zmiany spłaty rat kapitałowych w zakresie kwot i terminów bez kosztów obciążających Zamawiającego.</w:t>
      </w:r>
    </w:p>
    <w:p w14:paraId="00FC13C9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§ 5.</w:t>
      </w:r>
    </w:p>
    <w:p w14:paraId="618FA9D5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1. Prawne zabezpieczenie spłaty udzielonego kredytu stanowi weksel in blanco wystawiony przez Kredytobiorcę wraz z deklaracją wekslową. </w:t>
      </w:r>
    </w:p>
    <w:p w14:paraId="5F7349D6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2. Dokumenty dotyczące zabezpieczenia stanowią integralną część umowy kredytowej. </w:t>
      </w:r>
    </w:p>
    <w:p w14:paraId="64E48CE7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3. Koszty związane z ustanowieniem zabezpieczenia ponosi Kredytobiorca. </w:t>
      </w:r>
    </w:p>
    <w:p w14:paraId="2EFE64EB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4. Dostarczenie Kredytodawcy przedmiotu zabezpieczenia bądź odpowiedniego dokumentu stwierdzającego dokonanie lub ustanowienie zabezpieczenia, oznacza uzyskanie przez Kredytodawcę tego zabezpieczenia. </w:t>
      </w:r>
    </w:p>
    <w:p w14:paraId="70724D88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C154327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§ 6.</w:t>
      </w:r>
    </w:p>
    <w:p w14:paraId="06BE2CFA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lastRenderedPageBreak/>
        <w:t>1. W razie wykorzystania kredytu niezgodnie z przeznaczeniem oraz niedotrzymania ustalonych warunków umowy, Kredytodawca może wypowiedzieć umowę o kredyt, co spowoduje podjęcie przez Bank działań zmierzających do odzyskania wierzytelności.</w:t>
      </w:r>
    </w:p>
    <w:p w14:paraId="48D02566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2. Okres wypowiedzenia umowy o kredyt wynosi 30 dni licząc od daty doręczenia tego wypowiedzenia. 3. Wypowiedzenie umowy o kredyt powinno być dokonane na piśmie: listem poleconym, lub pismem doręczonym bezpośrednio Kredytobiorcy. </w:t>
      </w:r>
    </w:p>
    <w:p w14:paraId="743784D5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4. Z chwilą wypowiedzenia umowy o kredyt następuje wstrzymanie wypłat z rachunku kredytowego             i wyznaczenie terminu spłaty zadłużenia. </w:t>
      </w:r>
    </w:p>
    <w:p w14:paraId="10EFC3DC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593998BA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§ 7.</w:t>
      </w:r>
    </w:p>
    <w:p w14:paraId="11A4EE31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1. W przypadku spłaty kredytu w kwocie wyższej niż to wynika z bieżącego zadłużenia nadpłacona kwota </w:t>
      </w:r>
      <w:r w:rsidRPr="006D701F">
        <w:rPr>
          <w:rFonts w:ascii="Arial" w:eastAsia="Calibri" w:hAnsi="Arial" w:cs="Arial"/>
          <w:kern w:val="0"/>
          <w:sz w:val="20"/>
          <w:szCs w:val="20"/>
          <w14:ligatures w14:val="none"/>
        </w:rPr>
        <w:t>przeznaczona zostanie na spłatę zadłużenia z tytułu kolejnej raty kredytu.</w:t>
      </w:r>
    </w:p>
    <w:p w14:paraId="7F528060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2. Nadpłacona kwota, o której mowa w ust.1 nie podlega oprocentowaniu. </w:t>
      </w:r>
    </w:p>
    <w:p w14:paraId="1B13D405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3. Kredyt uważa się za spłacony , jeżeli stan zadłużenia po spłacie kredytu i odsetek wynosi „ 0”. </w:t>
      </w:r>
    </w:p>
    <w:p w14:paraId="62B98214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1C0374D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§ 8.</w:t>
      </w:r>
    </w:p>
    <w:p w14:paraId="46162604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Kredytobiorca zobowiązuje się do: </w:t>
      </w:r>
    </w:p>
    <w:p w14:paraId="5ABD4544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1) wykorzystania kredytu zgodnie z przeznaczeniem określonym w §1, </w:t>
      </w:r>
    </w:p>
    <w:p w14:paraId="2A171C11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2) przesyłania po upływie każdego kwartału, sprawozdań Rb-NDS, Rb-Z, Rb-N, Rb-27S (zbiorczo), Rb-28S (zbiorczo). </w:t>
      </w:r>
    </w:p>
    <w:p w14:paraId="539C9443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kern w:val="0"/>
          <w:sz w:val="20"/>
          <w:szCs w:val="20"/>
          <w14:ligatures w14:val="none"/>
        </w:rPr>
        <w:t>3) przesyłania wymaganych ustawą o finansach publicznych opinii RIO odnośnie budżetu, w tym opinii RIO o wykonaniu budżetu za dany rok, o projekcie budżetu na rok bieżący, o możliwości sfinansowania deficytu budżetowego, o prawidłowości planowanej kwoty długu na podstawie przyjętej Wieloletniej Prognozy Finansowej na określone lata.</w:t>
      </w:r>
    </w:p>
    <w:p w14:paraId="38F0B13F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§ 9.</w:t>
      </w:r>
    </w:p>
    <w:p w14:paraId="04CC8EBD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Strony umowy zobowiązują się do wzajemnego pisemnego informowania o zmianach adresu, numerów kont bankowych, statusu prawnego oraz toczącym się postępowaniu ugodowym, bankowym, upadłościowym, likwidacyjnym oraz przekształceniach własnościowych w nieprzekraczalnym terminie 14 dni od daty wystąpienia danego faktu lub wszczęcia postępowania. </w:t>
      </w:r>
    </w:p>
    <w:p w14:paraId="368C9BC3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B405D08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§ 10.</w:t>
      </w:r>
    </w:p>
    <w:p w14:paraId="7F3DE9E6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kern w:val="0"/>
          <w:sz w:val="20"/>
          <w:szCs w:val="20"/>
          <w14:ligatures w14:val="none"/>
        </w:rPr>
        <w:t>Z tytułu niewykonania lub nienależytego wykonania umowy w szczególności:</w:t>
      </w:r>
    </w:p>
    <w:p w14:paraId="05430F46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kern w:val="0"/>
          <w:sz w:val="20"/>
          <w:szCs w:val="20"/>
          <w14:ligatures w14:val="none"/>
        </w:rPr>
        <w:t>1) nie udzielenie kredytu w terminie określonym w SWZ Zamawiający przewiduje sankcję w postaci obowiązku zapłaty przez Wykonawcę kary umownej w wysokości 1.000 zł (tysiąc złotych 00/100)                     za każdy dzień zwłoki,</w:t>
      </w:r>
    </w:p>
    <w:p w14:paraId="78ADA780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2) łączna maksymalna wysokość kar umownych nie może przekroczyć 10.000,00 złotych (dziesięć tysięcy złotych). </w:t>
      </w:r>
    </w:p>
    <w:p w14:paraId="38FFC6BF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77860EE" w14:textId="77777777" w:rsidR="006D701F" w:rsidRPr="006D701F" w:rsidRDefault="006D701F" w:rsidP="006D7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§ 11.</w:t>
      </w:r>
    </w:p>
    <w:p w14:paraId="702B789A" w14:textId="77777777" w:rsidR="006D701F" w:rsidRPr="006D701F" w:rsidRDefault="006D701F" w:rsidP="006D701F">
      <w:pPr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 xml:space="preserve">1. Zmiana postanowień niniejszej umowy może nastąpić za zgodą obydwu stron wyrażoną na piśmie, w formie aneksu do umowy z zachowaniem formy pisemnej pod rygorem nieważności takiej zmiany. </w:t>
      </w:r>
    </w:p>
    <w:p w14:paraId="4EBEAC99" w14:textId="77777777" w:rsidR="006D701F" w:rsidRPr="006D701F" w:rsidRDefault="006D701F" w:rsidP="006D701F">
      <w:pPr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 xml:space="preserve">2. Zamawiający działając w oparciu o art. 455 ust. 1 ustawy Prawo zamówień publicznych (tekst jednolity Dz. U. z 2023r. poz. 1605 z późn.zm.) określa następujące okoliczności, które mogą powodować konieczność wprowadzenia zmian w treści zawartej umowy w stosunku do treści złożonej oferty: </w:t>
      </w:r>
    </w:p>
    <w:p w14:paraId="03F03EC8" w14:textId="77777777" w:rsidR="006D701F" w:rsidRPr="006D701F" w:rsidRDefault="006D701F" w:rsidP="006D701F">
      <w:pPr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>1) wystąpienia okoliczności, których nie można było przewidzieć pomimo zachowania należytej staranności,</w:t>
      </w:r>
    </w:p>
    <w:p w14:paraId="32A51FED" w14:textId="77777777" w:rsidR="006D701F" w:rsidRPr="006D701F" w:rsidRDefault="006D701F" w:rsidP="006D701F">
      <w:pPr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>2) określone w chwili zawierania umowy oprocentowanie może ulegać w okresie umownym zmianom tylko w przypadku zmiany stawki WIBOR dla depozytów trzymiesięcznych (stopa bazowa). Marża                    w okresie umownym jest stała. W każdym okresie obrachunkowym - kwartale kalendarzowym, wchodzącym w skład umownego okresu kredytowania stopa oprocentowania kredytu jest stała.</w:t>
      </w:r>
    </w:p>
    <w:p w14:paraId="03C69374" w14:textId="77777777" w:rsidR="006D701F" w:rsidRPr="006D701F" w:rsidRDefault="006D701F" w:rsidP="006D701F">
      <w:pPr>
        <w:spacing w:line="300" w:lineRule="atLeast"/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 xml:space="preserve">3) wydłużenia okresu kredytowania oraz zmiany terminów i kwot spłaty rat kapitałowych,              </w:t>
      </w:r>
    </w:p>
    <w:p w14:paraId="74138023" w14:textId="77777777" w:rsidR="006D701F" w:rsidRPr="006D701F" w:rsidRDefault="006D701F" w:rsidP="006D701F">
      <w:pPr>
        <w:spacing w:line="300" w:lineRule="atLeast"/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 xml:space="preserve">4) zmiany okresów spłaty odsetek od kredytu w przypadku gdy sytuacja finansowa gminy uległaby pogorszeniu, w wyniku czego wskaźnik spłaty zadłużenia przekroczyłby limity określone w ustawie              o finansach publicznych. </w:t>
      </w:r>
    </w:p>
    <w:p w14:paraId="2B27A4FE" w14:textId="77777777" w:rsidR="006D701F" w:rsidRPr="006D701F" w:rsidRDefault="006D701F" w:rsidP="006D701F">
      <w:pPr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lastRenderedPageBreak/>
        <w:t>3. Zmiany o których mowa w ust.2 pkt.2) niniejszego paragrafu nie mogą dotyczyć marży bankowej określonej w ofercie, która jest stała w całym okresie obowiązywania umowy.</w:t>
      </w:r>
    </w:p>
    <w:p w14:paraId="2AF17BDE" w14:textId="77777777" w:rsidR="006D701F" w:rsidRPr="006D701F" w:rsidRDefault="006D701F" w:rsidP="006D701F">
      <w:pPr>
        <w:jc w:val="center"/>
        <w:rPr>
          <w:rFonts w:ascii="Arial" w:eastAsia="Calibri" w:hAnsi="Arial" w:cs="Arial"/>
          <w:sz w:val="20"/>
          <w:szCs w:val="20"/>
          <w14:ligatures w14:val="none"/>
        </w:rPr>
      </w:pPr>
    </w:p>
    <w:p w14:paraId="0D29B417" w14:textId="77777777" w:rsidR="006D701F" w:rsidRPr="006D701F" w:rsidRDefault="006D701F" w:rsidP="006D701F">
      <w:pPr>
        <w:jc w:val="center"/>
        <w:rPr>
          <w:rFonts w:ascii="Arial" w:eastAsia="Calibri" w:hAnsi="Arial" w:cs="Arial"/>
          <w:b/>
          <w:bCs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sz w:val="20"/>
          <w:szCs w:val="20"/>
          <w14:ligatures w14:val="none"/>
        </w:rPr>
        <w:t>§ 12.</w:t>
      </w:r>
    </w:p>
    <w:p w14:paraId="13EE91ED" w14:textId="77777777" w:rsidR="006D701F" w:rsidRPr="006D701F" w:rsidRDefault="006D701F" w:rsidP="006D701F">
      <w:pPr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>Sądem właściwym do rozpatrywania sporów wynikłych z niniejszej umowy jest Sąd Powszechny właściwy miejscowo dla Zamawiającego.</w:t>
      </w:r>
    </w:p>
    <w:p w14:paraId="4260F415" w14:textId="77777777" w:rsidR="006D701F" w:rsidRPr="006D701F" w:rsidRDefault="006D701F" w:rsidP="006D701F">
      <w:pPr>
        <w:jc w:val="center"/>
        <w:rPr>
          <w:rFonts w:ascii="Arial" w:eastAsia="Calibri" w:hAnsi="Arial" w:cs="Arial"/>
          <w:b/>
          <w:bCs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sz w:val="20"/>
          <w:szCs w:val="20"/>
          <w14:ligatures w14:val="none"/>
        </w:rPr>
        <w:t>§ 13.</w:t>
      </w:r>
    </w:p>
    <w:p w14:paraId="1C80B24E" w14:textId="77777777" w:rsidR="006D701F" w:rsidRPr="006D701F" w:rsidRDefault="006D701F" w:rsidP="006D701F">
      <w:pPr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>Wszelkie zmiany niniejszej umowy wymagają formy pisemnej pod rygorem nieważności oraz wymagają zgody obu stron umowy.</w:t>
      </w:r>
    </w:p>
    <w:p w14:paraId="10452AAA" w14:textId="77777777" w:rsidR="006D701F" w:rsidRPr="006D701F" w:rsidRDefault="006D701F" w:rsidP="006D701F">
      <w:pPr>
        <w:jc w:val="center"/>
        <w:rPr>
          <w:rFonts w:ascii="Arial" w:eastAsia="Calibri" w:hAnsi="Arial" w:cs="Arial"/>
          <w:b/>
          <w:bCs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sz w:val="20"/>
          <w:szCs w:val="20"/>
          <w14:ligatures w14:val="none"/>
        </w:rPr>
        <w:t>§ 14.</w:t>
      </w:r>
    </w:p>
    <w:p w14:paraId="48826472" w14:textId="77777777" w:rsidR="006D701F" w:rsidRPr="006D701F" w:rsidRDefault="006D701F" w:rsidP="006D701F">
      <w:pPr>
        <w:jc w:val="both"/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>W sprawach nieuregulowanych niniejszą umową mają zastosowanie przepisy Kodeksu cywilnego, prawa bankowego i innych ustaw.</w:t>
      </w:r>
    </w:p>
    <w:p w14:paraId="4D543517" w14:textId="77777777" w:rsidR="006D701F" w:rsidRPr="006D701F" w:rsidRDefault="006D701F" w:rsidP="006D701F">
      <w:pPr>
        <w:jc w:val="center"/>
        <w:rPr>
          <w:rFonts w:ascii="Arial" w:eastAsia="Calibri" w:hAnsi="Arial" w:cs="Arial"/>
          <w:b/>
          <w:bCs/>
          <w:sz w:val="20"/>
          <w:szCs w:val="20"/>
          <w14:ligatures w14:val="none"/>
        </w:rPr>
      </w:pPr>
    </w:p>
    <w:p w14:paraId="32859EBB" w14:textId="77777777" w:rsidR="006D701F" w:rsidRPr="006D701F" w:rsidRDefault="006D701F" w:rsidP="006D701F">
      <w:pPr>
        <w:jc w:val="center"/>
        <w:rPr>
          <w:rFonts w:ascii="Arial" w:eastAsia="Calibri" w:hAnsi="Arial" w:cs="Arial"/>
          <w:b/>
          <w:bCs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b/>
          <w:bCs/>
          <w:sz w:val="20"/>
          <w:szCs w:val="20"/>
          <w14:ligatures w14:val="none"/>
        </w:rPr>
        <w:t>§ 15.</w:t>
      </w:r>
    </w:p>
    <w:p w14:paraId="4B272A93" w14:textId="77777777" w:rsidR="006D701F" w:rsidRPr="006D701F" w:rsidRDefault="006D701F" w:rsidP="006D701F">
      <w:pPr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>Umowę niniejszą sporządzono w 2 jednobrzmiących egzemplarzach, po dwa dla każdej ze stron.</w:t>
      </w:r>
    </w:p>
    <w:p w14:paraId="38991D8C" w14:textId="77777777" w:rsidR="006D701F" w:rsidRPr="006D701F" w:rsidRDefault="006D701F" w:rsidP="006D701F">
      <w:pPr>
        <w:rPr>
          <w:rFonts w:ascii="Arial" w:eastAsia="Calibri" w:hAnsi="Arial" w:cs="Arial"/>
          <w:sz w:val="20"/>
          <w:szCs w:val="20"/>
          <w14:ligatures w14:val="none"/>
        </w:rPr>
      </w:pPr>
    </w:p>
    <w:p w14:paraId="650F5D06" w14:textId="77777777" w:rsidR="006D701F" w:rsidRPr="006D701F" w:rsidRDefault="006D701F" w:rsidP="006D701F">
      <w:pPr>
        <w:rPr>
          <w:rFonts w:ascii="Arial" w:eastAsia="Calibri" w:hAnsi="Arial" w:cs="Arial"/>
          <w:sz w:val="20"/>
          <w:szCs w:val="20"/>
          <w14:ligatures w14:val="none"/>
        </w:rPr>
      </w:pPr>
    </w:p>
    <w:p w14:paraId="19708EDE" w14:textId="77777777" w:rsidR="006D701F" w:rsidRPr="006D701F" w:rsidRDefault="006D701F" w:rsidP="006D701F">
      <w:pPr>
        <w:rPr>
          <w:rFonts w:ascii="Arial" w:eastAsia="Calibri" w:hAnsi="Arial" w:cs="Arial"/>
          <w:sz w:val="20"/>
          <w:szCs w:val="20"/>
          <w14:ligatures w14:val="none"/>
        </w:rPr>
      </w:pPr>
      <w:r w:rsidRPr="006D701F">
        <w:rPr>
          <w:rFonts w:ascii="Arial" w:eastAsia="Calibri" w:hAnsi="Arial" w:cs="Arial"/>
          <w:sz w:val="20"/>
          <w:szCs w:val="20"/>
          <w14:ligatures w14:val="none"/>
        </w:rPr>
        <w:t xml:space="preserve">                     KREDYTOBIORCA </w:t>
      </w:r>
      <w:r w:rsidRPr="006D701F">
        <w:rPr>
          <w:rFonts w:ascii="Arial" w:eastAsia="Calibri" w:hAnsi="Arial" w:cs="Arial"/>
          <w:sz w:val="20"/>
          <w:szCs w:val="20"/>
          <w14:ligatures w14:val="none"/>
        </w:rPr>
        <w:tab/>
      </w:r>
      <w:r w:rsidRPr="006D701F">
        <w:rPr>
          <w:rFonts w:ascii="Arial" w:eastAsia="Calibri" w:hAnsi="Arial" w:cs="Arial"/>
          <w:sz w:val="20"/>
          <w:szCs w:val="20"/>
          <w14:ligatures w14:val="none"/>
        </w:rPr>
        <w:tab/>
      </w:r>
      <w:r w:rsidRPr="006D701F">
        <w:rPr>
          <w:rFonts w:ascii="Arial" w:eastAsia="Calibri" w:hAnsi="Arial" w:cs="Arial"/>
          <w:sz w:val="20"/>
          <w:szCs w:val="20"/>
          <w14:ligatures w14:val="none"/>
        </w:rPr>
        <w:tab/>
      </w:r>
      <w:r w:rsidRPr="006D701F">
        <w:rPr>
          <w:rFonts w:ascii="Arial" w:eastAsia="Calibri" w:hAnsi="Arial" w:cs="Arial"/>
          <w:sz w:val="20"/>
          <w:szCs w:val="20"/>
          <w14:ligatures w14:val="none"/>
        </w:rPr>
        <w:tab/>
      </w:r>
      <w:r w:rsidRPr="006D701F">
        <w:rPr>
          <w:rFonts w:ascii="Arial" w:eastAsia="Calibri" w:hAnsi="Arial" w:cs="Arial"/>
          <w:sz w:val="20"/>
          <w:szCs w:val="20"/>
          <w14:ligatures w14:val="none"/>
        </w:rPr>
        <w:tab/>
        <w:t xml:space="preserve">    BANK</w:t>
      </w:r>
    </w:p>
    <w:p w14:paraId="0E258C67" w14:textId="77777777" w:rsidR="006D701F" w:rsidRPr="006D701F" w:rsidRDefault="006D701F" w:rsidP="006D701F">
      <w:pPr>
        <w:rPr>
          <w:rFonts w:ascii="Arial" w:eastAsia="Calibri" w:hAnsi="Arial" w:cs="Arial"/>
          <w:sz w:val="20"/>
          <w:szCs w:val="20"/>
          <w14:ligatures w14:val="none"/>
        </w:rPr>
      </w:pPr>
    </w:p>
    <w:p w14:paraId="51881645" w14:textId="77777777" w:rsidR="006D701F" w:rsidRPr="006D701F" w:rsidRDefault="006D701F" w:rsidP="006D701F">
      <w:pPr>
        <w:rPr>
          <w:rFonts w:ascii="Arial" w:eastAsia="Calibri" w:hAnsi="Arial" w:cs="Arial"/>
          <w:sz w:val="20"/>
          <w:szCs w:val="20"/>
          <w14:ligatures w14:val="none"/>
        </w:rPr>
      </w:pPr>
    </w:p>
    <w:p w14:paraId="6CCB4083" w14:textId="77777777" w:rsidR="006D701F" w:rsidRPr="006D701F" w:rsidRDefault="006D701F" w:rsidP="006D701F">
      <w:pPr>
        <w:rPr>
          <w:rFonts w:ascii="Arial" w:eastAsia="Calibri" w:hAnsi="Arial" w:cs="Arial"/>
          <w:sz w:val="20"/>
          <w:szCs w:val="20"/>
          <w14:ligatures w14:val="none"/>
        </w:rPr>
      </w:pPr>
    </w:p>
    <w:p w14:paraId="4C76CD90" w14:textId="77777777" w:rsidR="006D701F" w:rsidRPr="006D701F" w:rsidRDefault="006D701F" w:rsidP="006D701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:lang w:eastAsia="pl-PL"/>
          <w14:ligatures w14:val="none"/>
        </w:rPr>
      </w:pPr>
    </w:p>
    <w:p w14:paraId="42386A6B" w14:textId="77777777" w:rsidR="006337C1" w:rsidRDefault="006337C1"/>
    <w:sectPr w:rsidR="006337C1" w:rsidSect="000124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B445B" w14:textId="77777777" w:rsidR="00CC2836" w:rsidRDefault="00CC2836">
      <w:pPr>
        <w:spacing w:after="0" w:line="240" w:lineRule="auto"/>
      </w:pPr>
      <w:r>
        <w:separator/>
      </w:r>
    </w:p>
  </w:endnote>
  <w:endnote w:type="continuationSeparator" w:id="0">
    <w:p w14:paraId="2D5DEC18" w14:textId="77777777" w:rsidR="00CC2836" w:rsidRDefault="00CC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8DD6A" w14:textId="77777777" w:rsidR="00913824" w:rsidRDefault="00913824" w:rsidP="00F519E4">
    <w:pPr>
      <w:pStyle w:val="Stopka"/>
      <w:pBdr>
        <w:bottom w:val="single" w:sz="6" w:space="0" w:color="auto"/>
      </w:pBdr>
      <w:jc w:val="center"/>
      <w:rPr>
        <w:rFonts w:ascii="Arial" w:hAnsi="Arial" w:cs="Arial"/>
        <w:sz w:val="16"/>
        <w:szCs w:val="16"/>
      </w:rPr>
    </w:pPr>
  </w:p>
  <w:p w14:paraId="4312E5A7" w14:textId="77777777" w:rsidR="00913824" w:rsidRPr="00C43C4B" w:rsidRDefault="00000000" w:rsidP="009F4BB8">
    <w:pPr>
      <w:pStyle w:val="Stopka"/>
      <w:jc w:val="center"/>
      <w:rPr>
        <w:rFonts w:ascii="Arial" w:hAnsi="Arial" w:cs="Arial"/>
        <w:sz w:val="14"/>
        <w:szCs w:val="14"/>
      </w:rPr>
    </w:pPr>
    <w:r w:rsidRPr="00C43C4B">
      <w:rPr>
        <w:rFonts w:ascii="Arial" w:hAnsi="Arial" w:cs="Arial"/>
        <w:sz w:val="14"/>
        <w:szCs w:val="14"/>
      </w:rPr>
      <w:t xml:space="preserve">Strona </w:t>
    </w:r>
    <w:r w:rsidRPr="00C43C4B">
      <w:rPr>
        <w:rFonts w:ascii="Arial" w:hAnsi="Arial" w:cs="Arial"/>
        <w:sz w:val="14"/>
        <w:szCs w:val="14"/>
      </w:rPr>
      <w:fldChar w:fldCharType="begin"/>
    </w:r>
    <w:r w:rsidRPr="00C43C4B">
      <w:rPr>
        <w:rFonts w:ascii="Arial" w:hAnsi="Arial" w:cs="Arial"/>
        <w:sz w:val="14"/>
        <w:szCs w:val="14"/>
      </w:rPr>
      <w:instrText xml:space="preserve"> PAGE </w:instrText>
    </w:r>
    <w:r w:rsidRPr="00C43C4B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Pr="00C43C4B">
      <w:rPr>
        <w:rFonts w:ascii="Arial" w:hAnsi="Arial" w:cs="Arial"/>
        <w:sz w:val="14"/>
        <w:szCs w:val="14"/>
      </w:rPr>
      <w:fldChar w:fldCharType="end"/>
    </w:r>
    <w:r w:rsidRPr="00C43C4B">
      <w:rPr>
        <w:rFonts w:ascii="Arial" w:hAnsi="Arial" w:cs="Arial"/>
        <w:sz w:val="14"/>
        <w:szCs w:val="14"/>
      </w:rPr>
      <w:t xml:space="preserve"> z </w:t>
    </w:r>
    <w:r w:rsidRPr="00C43C4B">
      <w:rPr>
        <w:rFonts w:ascii="Arial" w:hAnsi="Arial" w:cs="Arial"/>
        <w:sz w:val="14"/>
        <w:szCs w:val="14"/>
      </w:rPr>
      <w:fldChar w:fldCharType="begin"/>
    </w:r>
    <w:r w:rsidRPr="00C43C4B">
      <w:rPr>
        <w:rFonts w:ascii="Arial" w:hAnsi="Arial" w:cs="Arial"/>
        <w:sz w:val="14"/>
        <w:szCs w:val="14"/>
      </w:rPr>
      <w:instrText xml:space="preserve"> NUMPAGES </w:instrText>
    </w:r>
    <w:r w:rsidRPr="00C43C4B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42</w:t>
    </w:r>
    <w:r w:rsidRPr="00C43C4B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                  </w:t>
    </w:r>
  </w:p>
  <w:p w14:paraId="47010FB5" w14:textId="77777777" w:rsidR="00913824" w:rsidRDefault="00913824" w:rsidP="00F519E4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30ABA" w14:textId="77777777" w:rsidR="00CC2836" w:rsidRDefault="00CC2836">
      <w:pPr>
        <w:spacing w:after="0" w:line="240" w:lineRule="auto"/>
      </w:pPr>
      <w:r>
        <w:separator/>
      </w:r>
    </w:p>
  </w:footnote>
  <w:footnote w:type="continuationSeparator" w:id="0">
    <w:p w14:paraId="034BF920" w14:textId="77777777" w:rsidR="00CC2836" w:rsidRDefault="00CC2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66398"/>
    <w:multiLevelType w:val="hybridMultilevel"/>
    <w:tmpl w:val="C4B84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02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A7"/>
    <w:rsid w:val="00042483"/>
    <w:rsid w:val="001E09BB"/>
    <w:rsid w:val="00200233"/>
    <w:rsid w:val="0044112F"/>
    <w:rsid w:val="005776A7"/>
    <w:rsid w:val="006337C1"/>
    <w:rsid w:val="0065282A"/>
    <w:rsid w:val="006A4203"/>
    <w:rsid w:val="006D701F"/>
    <w:rsid w:val="00796834"/>
    <w:rsid w:val="00813A80"/>
    <w:rsid w:val="00913824"/>
    <w:rsid w:val="00922651"/>
    <w:rsid w:val="009B4198"/>
    <w:rsid w:val="00A2798C"/>
    <w:rsid w:val="00AB55F6"/>
    <w:rsid w:val="00CC2836"/>
    <w:rsid w:val="00D931C4"/>
    <w:rsid w:val="00DD5BFC"/>
    <w:rsid w:val="00DF13BC"/>
    <w:rsid w:val="00F804A0"/>
    <w:rsid w:val="00F8422D"/>
    <w:rsid w:val="00F9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E835"/>
  <w15:chartTrackingRefBased/>
  <w15:docId w15:val="{AE1BAED0-31B2-411B-9080-DEB49B6D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D70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D701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D5BF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D5BFC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D5BFC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2056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Grzeszczak</dc:creator>
  <cp:keywords/>
  <dc:description/>
  <cp:lastModifiedBy>Użytkownik systemu Windows</cp:lastModifiedBy>
  <cp:revision>2</cp:revision>
  <dcterms:created xsi:type="dcterms:W3CDTF">2024-07-16T08:25:00Z</dcterms:created>
  <dcterms:modified xsi:type="dcterms:W3CDTF">2024-07-16T08:25:00Z</dcterms:modified>
</cp:coreProperties>
</file>