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7071"/>
        <w:gridCol w:w="8290"/>
      </w:tblGrid>
      <w:tr w:rsidR="00336CA6">
        <w:tc>
          <w:tcPr>
            <w:tcW w:w="7071" w:type="dxa"/>
          </w:tcPr>
          <w:p w:rsidR="00336CA6" w:rsidRDefault="00336CA6">
            <w:pPr>
              <w:snapToGrid w:val="0"/>
            </w:pPr>
          </w:p>
        </w:tc>
        <w:tc>
          <w:tcPr>
            <w:tcW w:w="8290" w:type="dxa"/>
          </w:tcPr>
          <w:p w:rsidR="00336CA6" w:rsidRDefault="00336CA6">
            <w:pPr>
              <w:snapToGrid w:val="0"/>
              <w:ind w:left="36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Sprawa Nr 54/D/2022</w:t>
            </w:r>
          </w:p>
        </w:tc>
      </w:tr>
    </w:tbl>
    <w:p w:rsidR="00336CA6" w:rsidRDefault="00336CA6" w:rsidP="000B48A9">
      <w:pPr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ARKUSZ ASORTYMENTOWO-CENOWY</w:t>
      </w:r>
    </w:p>
    <w:p w:rsidR="00336CA6" w:rsidRPr="00D62F14" w:rsidRDefault="00336CA6" w:rsidP="000B48A9">
      <w:pPr>
        <w:jc w:val="center"/>
        <w:rPr>
          <w:color w:val="FF0000"/>
        </w:rPr>
      </w:pPr>
      <w:r w:rsidRPr="00D62F14">
        <w:rPr>
          <w:b/>
          <w:bCs/>
          <w:color w:val="FF0000"/>
          <w:spacing w:val="40"/>
          <w:sz w:val="22"/>
          <w:szCs w:val="22"/>
        </w:rPr>
        <w:t>PO ZMIANIE</w:t>
      </w:r>
    </w:p>
    <w:tbl>
      <w:tblPr>
        <w:tblW w:w="14352" w:type="dxa"/>
        <w:tblInd w:w="-106" w:type="dxa"/>
        <w:tblLayout w:type="fixed"/>
        <w:tblLook w:val="00A0"/>
      </w:tblPr>
      <w:tblGrid>
        <w:gridCol w:w="7176"/>
        <w:gridCol w:w="7176"/>
      </w:tblGrid>
      <w:tr w:rsidR="00336CA6">
        <w:trPr>
          <w:trHeight w:val="285"/>
        </w:trPr>
        <w:tc>
          <w:tcPr>
            <w:tcW w:w="7176" w:type="dxa"/>
          </w:tcPr>
          <w:p w:rsidR="00336CA6" w:rsidRDefault="00336CA6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CPV 33190000-8</w:t>
            </w:r>
          </w:p>
        </w:tc>
        <w:tc>
          <w:tcPr>
            <w:tcW w:w="7176" w:type="dxa"/>
          </w:tcPr>
          <w:p w:rsidR="00336CA6" w:rsidRDefault="00336CA6">
            <w:pPr>
              <w:snapToGrid w:val="0"/>
              <w:jc w:val="right"/>
            </w:pPr>
            <w:r>
              <w:rPr>
                <w:sz w:val="22"/>
                <w:szCs w:val="22"/>
              </w:rPr>
              <w:t>Załącznik Nr 2</w:t>
            </w:r>
          </w:p>
        </w:tc>
      </w:tr>
    </w:tbl>
    <w:p w:rsidR="00336CA6" w:rsidRDefault="00336CA6" w:rsidP="000B48A9">
      <w:pPr>
        <w:ind w:left="12762" w:firstLine="709"/>
      </w:pPr>
    </w:p>
    <w:tbl>
      <w:tblPr>
        <w:tblW w:w="15452" w:type="dxa"/>
        <w:tblInd w:w="-106" w:type="dxa"/>
        <w:tblLayout w:type="fixed"/>
        <w:tblLook w:val="00A0"/>
      </w:tblPr>
      <w:tblGrid>
        <w:gridCol w:w="3944"/>
        <w:gridCol w:w="1978"/>
        <w:gridCol w:w="1382"/>
        <w:gridCol w:w="1328"/>
        <w:gridCol w:w="779"/>
        <w:gridCol w:w="1055"/>
        <w:gridCol w:w="1263"/>
        <w:gridCol w:w="1652"/>
        <w:gridCol w:w="864"/>
        <w:gridCol w:w="1207"/>
      </w:tblGrid>
      <w:tr w:rsidR="00336CA6">
        <w:trPr>
          <w:trHeight w:val="329"/>
        </w:trPr>
        <w:tc>
          <w:tcPr>
            <w:tcW w:w="39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handlowa</w:t>
            </w:r>
          </w:p>
        </w:tc>
        <w:tc>
          <w:tcPr>
            <w:tcW w:w="13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7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JM</w:t>
            </w:r>
          </w:p>
        </w:tc>
        <w:tc>
          <w:tcPr>
            <w:tcW w:w="10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16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Stawka VAT</w:t>
            </w:r>
          </w:p>
        </w:tc>
        <w:tc>
          <w:tcPr>
            <w:tcW w:w="12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336CA6">
        <w:trPr>
          <w:trHeight w:val="577"/>
        </w:trPr>
        <w:tc>
          <w:tcPr>
            <w:tcW w:w="394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336CA6" w:rsidRDefault="00336CA6">
            <w:pPr>
              <w:tabs>
                <w:tab w:val="left" w:pos="10005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Wagomieszarka do pobieranej krwi z przesyłem danych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kpl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36CA6" w:rsidRDefault="00336CA6">
            <w:pPr>
              <w:snapToGrid w:val="0"/>
            </w:pPr>
          </w:p>
        </w:tc>
      </w:tr>
      <w:tr w:rsidR="00336CA6">
        <w:tc>
          <w:tcPr>
            <w:tcW w:w="15452" w:type="dxa"/>
            <w:gridSpan w:val="10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CA6" w:rsidRDefault="00336CA6">
            <w:pPr>
              <w:pStyle w:val="NoSpacing"/>
              <w:snapToGrid w:val="0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Posiada znak CE.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Urządzenie jest fabrycznie nowe.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Zapewnia automatyczną kalibrację i program kontroli prawidłowości ważenia przed rozpoczęciem pracy. W przypadku gdy wskazanie wagi różni się o +/- 1% od wartości wymaganej wagomieszarka nie pozwala na kontynuowanie pracy.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Zapewnia automatyczne tarowanie przed pobraniem krwi.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Wyświetla komunikaty w języku polskim.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Czytelny, podświetlany wyświetlacz LCD pokazujący: aktualną objętość pobranej krwi, aktualny czas trwania donacji i całkowity czas po jej zakończeniu oraz datę </w:t>
            </w:r>
            <w:r>
              <w:rPr>
                <w:rFonts w:ascii="Times New Roman" w:hAnsi="Times New Roman" w:cs="Times New Roman"/>
              </w:rPr>
              <w:br/>
              <w:t>i godzinę.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Umożliwia programowanie objętości krwi przed pobraniem.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Zapewnia ciągłe monitorowanie oraz wyświetlanie aktualnie pobranej objętości krwi oraz aktualnego czasu trwania donacji.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Częstotliwość mieszania (nie mniejsza niż 10 cykli na minutę do minimum 30 cykli na minutę) i głęboki kąt wychylenia szalki w celu dokładnego mieszania z antykoagulantem. Cykl mieszania musi rozpoczynać się po napłynięciu ok. 10 ml krwi do pojemnika. Urządzenie musi zapewniać ważenie z dokładnością nie mniejszą niż 3 gramy. Czas przerwy w cyklu mieszania nie może przekraczać 2 sekund. Krew musi być mieszana w każdej fazie donacji, zarówno w trakcie kiedy napływa do pojemnika, jak też po automatycznym zamknięciu zacisku w czasie pobierania próbek po donacji. Ruch szalki prostopadle do zacisku. 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Wyposażona w alarm akustyczny i wizualny w przypadku: nieprawidłowego przepływu krwi (możliwość programowania poziomów alarmowych przepływu krwi </w:t>
            </w:r>
            <w:r>
              <w:rPr>
                <w:rFonts w:ascii="Times New Roman" w:hAnsi="Times New Roman" w:cs="Times New Roman"/>
              </w:rPr>
              <w:br/>
              <w:t>od 10 do 60 ml/min.), przedłużonego czasu poboru (możliwość programowania czasu) oraz braku drenu w zacisku.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Sygnalizuje alarmem dźwiękowym i wizualnym zakończenie donacji.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Wyposażona w automatyczny zawór zamykający dopływ krwi do pojemnika kolekcyjnego po pobraniu żądanej objętości krwi, o budowie uniemożliwiającej wyjęcie drenu kolekcyjnego z zaworu podczas donacji. Zawór musi być umieszczony centralnie aby umożliwiać wykorzystanie wagomieszarki z obu stron.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Przystosowanie do wszystkich dostępnych na rynku zestawów pojemników do pobierania krwi.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Wagomieszarka wyposażona w czytnik kodów kreskowych zgodny ze standardem ISBT 128 oraz walizkę transportową jednocześnie służącą jako stolik pod wagomieszarkę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Zapewnia zabezpieczenie w programie określonej kolejności czytania kodów dla dawcy, użytkownika pojemnika, probówek wyróżnionych flagami (min. 5 probówek), blokada przejścia do następnego kroku w procesie poboru krwi w przypadku gdy nastąpi zaczytanie nieprawidłowego kodu lub nieprawidłowej kolejności.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Umożliwia porównanie zaczytanych kodów donacji z pojemnika i z probówek oraz zabezpieczenie przez pobraniem próbek krwi w probówki oklejone niewłaściwymi kodami.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Zasilanie akumulatorowe i sieciowe (wydajny system zasilania bateryjnego, minimum 8 godz. pracy na jednym komplecie akumulatorów w trybie bez transmisji danych i co najmniej 3 godziny w trybie z transmisją danych.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Urządzenie wyposażone w zgrzewarkę ręczną: 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rozkładanie głowicy zgrzewającej do czyszczenia bez użycia narzędzi,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zgrzewanie wszystkich rodzajów drenów przy pojemnikach do pobierania krwi bez konieczności regulacji urządzenia,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czas zgrzewania do 3s,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zgrzewy z perforacją umożliwiającą separację bez użycia ostrych narzędzi,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automatyczne inicjowanie procesu zgrzewania drenów po umieszczeniu drenu w głowicy i zaciśnięciu głowicy,</w:t>
            </w:r>
          </w:p>
          <w:p w:rsidR="00336CA6" w:rsidRDefault="00336CA6" w:rsidP="001D1289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co najmniej wizualny alarm sygnalizujący nieprawidłowe zgrzanie drenu lub jego nieszczelności.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Panel sterujący umocowany na wysokości umożliwiającej obsługę urządzenia w pozycji pionowej bez konieczności pochylania się nad wagomieszarką.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Wyświetlacz skierowany w kierunku dawcy informujący go o stopniu zaawansowania donacji i o spadku przepływu lub inne rozwiązania informujące o spadku przepływu i stopniu zaawansowania donacji – mobilizujące dawcę do pracy ręką.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Oprogramowanie zarządzające pracą wagomieszarki umożliwiające transfer danych bezpośrednio z wagomieszarki do systemu komputerowego Zamawiającego Bank Krwi a w przypadku zmiany systemu podłączenie urządzenia do nowego systemu na koszt Wykonawcy w okresie gwarancji oraz za pośrednictwem komputera przenośnego  (laptop) z przekątną ekranu min. 15”, z zainstalowanym legalnym systemem operacyjnym minimum WIN 10 professional lub równoważnym. Za parametry  równoważności określa się pełną zgodność z Active Directory oraz możliwość instalacji oprogramowania dedykowanego dla systemów operacyjnych rodziny Microsoft. Minimum 8 GB pamięci RAM oraz minimum 120 GB HDD/SSD. Procesor nie gorszy niż Intel Core i7 10th gen lub równoważny. </w:t>
            </w:r>
            <w:r w:rsidRPr="00D62F14">
              <w:rPr>
                <w:rFonts w:ascii="Times New Roman" w:hAnsi="Times New Roman" w:cs="Times New Roman"/>
                <w:strike/>
                <w:color w:val="FF0000"/>
              </w:rPr>
              <w:t>Za parametry równoważności określa się osiągnięcie wyniku na minimalnym poziomie 19200pkt w teście cpubenchmark.</w:t>
            </w:r>
            <w:r>
              <w:rPr>
                <w:rFonts w:ascii="Times New Roman" w:hAnsi="Times New Roman" w:cs="Times New Roman"/>
                <w:strike/>
                <w:color w:val="FF0000"/>
              </w:rPr>
              <w:t xml:space="preserve">. </w:t>
            </w:r>
            <w:r w:rsidRPr="00D62F14">
              <w:rPr>
                <w:rFonts w:ascii="Times New Roman" w:hAnsi="Times New Roman" w:cs="Times New Roman"/>
                <w:color w:val="FF0000"/>
              </w:rPr>
              <w:t>Zamawiający dopuszcza urządzenie o parametrach pozwalających na bezp</w:t>
            </w:r>
            <w:r>
              <w:rPr>
                <w:rFonts w:ascii="Times New Roman" w:hAnsi="Times New Roman" w:cs="Times New Roman"/>
                <w:color w:val="FF0000"/>
              </w:rPr>
              <w:t>roblemową</w:t>
            </w:r>
            <w:r w:rsidRPr="00D62F14">
              <w:rPr>
                <w:rFonts w:ascii="Times New Roman" w:hAnsi="Times New Roman" w:cs="Times New Roman"/>
                <w:color w:val="FF0000"/>
              </w:rPr>
              <w:t xml:space="preserve"> komunikację z zamawianym urządzeniem</w:t>
            </w:r>
            <w:r>
              <w:rPr>
                <w:rFonts w:ascii="Times New Roman" w:hAnsi="Times New Roman" w:cs="Times New Roman"/>
              </w:rPr>
              <w:t xml:space="preserve"> Łączność: Wi-Fi 802.11 b/g/n/Ac, Moduł Bluetooth, LAN 10/100/1000 Mbps. Do komputera musi być dołączony dokument poświadczający oryginalność systemu operacyjnego. Komputer przenośny fabrycznie nowy Wykonawca dostarczy z wagomieszarką.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Pamięć nie mniej niż 100 pobrań, obejmująca, co najmniej:</w:t>
            </w:r>
          </w:p>
          <w:p w:rsidR="00336CA6" w:rsidRDefault="00336CA6">
            <w:pPr>
              <w:pStyle w:val="ListParagraph1"/>
              <w:spacing w:after="0" w:line="100" w:lineRule="atLeast"/>
              <w:ind w:left="459"/>
              <w:jc w:val="both"/>
            </w:pPr>
            <w:r>
              <w:rPr>
                <w:rFonts w:ascii="Times New Roman" w:hAnsi="Times New Roman" w:cs="Times New Roman"/>
              </w:rPr>
              <w:t>- numer donacji z pojemnika,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datę donacji,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czas trwania donacji,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godzinę zakończenia donacji,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identyfikację operatora,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serię zestawu do pobrania krwi,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numer donacji z minimum 5 probówek,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objętość krwi pobranej,</w:t>
            </w:r>
          </w:p>
          <w:p w:rsidR="00336CA6" w:rsidRDefault="00336CA6">
            <w:pPr>
              <w:pStyle w:val="ListParagraph1"/>
              <w:spacing w:after="0" w:line="100" w:lineRule="atLeast"/>
              <w:ind w:left="360"/>
              <w:jc w:val="both"/>
            </w:pPr>
            <w:r>
              <w:rPr>
                <w:rFonts w:ascii="Times New Roman" w:hAnsi="Times New Roman" w:cs="Times New Roman"/>
              </w:rPr>
              <w:t xml:space="preserve">  - numer identyfikacyjny wagomieszarki.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Zapewnia transmisję wyżej wymienionych danych dotyczących przebiegu donacji za pośrednictwem łącza radiowego pomiędzy wagomieszarką a systemem Bank Krwi lub nowym systemem, a także z dostarczonym przez Wykonawcę komputerem przenośnym (oferta obejmuje wszelkie niezbędne do tego celu elementy z ewentualnym oprogramowaniem). Koszty podłączenia transmisji do systemu komputerowego Bank Krwi lub nowego systemu  użytkowanego przez Zamawiającego w okresie gwarancji ponosi Wykonawca.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Kompatybilność formatu danych z oprogramowaniem Bank Krwi lub oprogramowaniem nowego systemu potwierdzona referencjami (oferta obejmuje zapewnienie transmisji danych do systemu).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Wykonawca zapewnia autoryzowany serwis na terenie Polski.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Wykonawca zapewnia bezpłatną instalację, uruchomienie i bezpłatne szkolenie personelu zakończone podpisaniem protokołu, nie później niż 7 dni od dostawy lub zgłoszenia takiej potrzeby przez Zamawiającego, 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Wykonawca zapewnia bezpłatny transport urządzenia do miejsca wskazanego przez Zamawiającego oraz wniesienia do pomieszczenia wskazanego przez Odbiorcę urządzenia.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Wykonawca dostarcza wraz z urządzeniem instrukcję obsługi w języku polskim.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Wykonawca udziela minimum 24 miesiące gwarancji na urządzenie.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W okresie gwarancji Wykonawca zobowiązuje się do minimum 2 bezpłatnych (obejmujących koszty robocizny, dojazdu, materiałów zużywalnych) przeglądów gwarancyjnych w okresach wskazanych przez zamawiającego.</w:t>
            </w:r>
          </w:p>
          <w:p w:rsidR="00336CA6" w:rsidRPr="006D394C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  <w:rPr>
                <w:color w:val="FF0000"/>
              </w:rPr>
            </w:pPr>
            <w:r w:rsidRPr="006D394C">
              <w:rPr>
                <w:rFonts w:ascii="Times New Roman" w:hAnsi="Times New Roman" w:cs="Times New Roman"/>
                <w:color w:val="FF0000"/>
              </w:rPr>
              <w:t>Czas reakcji serwisu w okresie gwarancji nie przekracza 2 dni roboczych.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Czas naprawy na terenie Polski – 7 dni. </w:t>
            </w:r>
          </w:p>
          <w:p w:rsidR="00336CA6" w:rsidRDefault="00336CA6" w:rsidP="001D1289">
            <w:pPr>
              <w:pStyle w:val="NoSpacing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 xml:space="preserve">Na czas naprawy powyżej 7 dni Wykonawca zapewnia urządzenie zastępcze o parametrach równoważnych z naprawianym. </w:t>
            </w:r>
          </w:p>
          <w:p w:rsidR="00336CA6" w:rsidRDefault="00336CA6">
            <w:pPr>
              <w:pStyle w:val="NoSpacing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6CA6" w:rsidRDefault="00336CA6" w:rsidP="000B48A9">
      <w:pPr>
        <w:rPr>
          <w:b/>
          <w:bCs/>
          <w:sz w:val="22"/>
          <w:szCs w:val="22"/>
        </w:rPr>
      </w:pPr>
    </w:p>
    <w:p w:rsidR="00336CA6" w:rsidRDefault="00336CA6" w:rsidP="000B48A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A0"/>
      </w:tblPr>
      <w:tblGrid>
        <w:gridCol w:w="6827"/>
        <w:gridCol w:w="4207"/>
        <w:gridCol w:w="4724"/>
      </w:tblGrid>
      <w:tr w:rsidR="00336CA6">
        <w:trPr>
          <w:trHeight w:val="419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Informacja ogólna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Wypełnia Wykonawca</w:t>
            </w:r>
          </w:p>
        </w:tc>
      </w:tr>
      <w:tr w:rsidR="00336CA6">
        <w:trPr>
          <w:trHeight w:val="399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 xml:space="preserve">Termin gwarancji urządzenia – nie krótszy niż 24  miesiące 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 xml:space="preserve">Tak, podać okres udzielonej gwarancji na urządzenie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>……………..miesiące</w:t>
            </w:r>
          </w:p>
        </w:tc>
      </w:tr>
      <w:tr w:rsidR="00336CA6">
        <w:trPr>
          <w:trHeight w:val="603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>Termin dostawy urządzenia – nie dłuższy niż 25 dni kalendarzowych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 xml:space="preserve">Tak, podać termin dostawy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jc w:val="center"/>
            </w:pPr>
            <w:r>
              <w:rPr>
                <w:sz w:val="22"/>
                <w:szCs w:val="22"/>
              </w:rPr>
              <w:t xml:space="preserve">……………….dni </w:t>
            </w:r>
          </w:p>
        </w:tc>
      </w:tr>
    </w:tbl>
    <w:p w:rsidR="00336CA6" w:rsidRDefault="00336CA6" w:rsidP="000B48A9">
      <w:pPr>
        <w:rPr>
          <w:b/>
          <w:bCs/>
          <w:sz w:val="22"/>
          <w:szCs w:val="22"/>
        </w:rPr>
      </w:pPr>
    </w:p>
    <w:p w:rsidR="00336CA6" w:rsidRDefault="00336CA6" w:rsidP="000B48A9">
      <w:r>
        <w:rPr>
          <w:b/>
          <w:bCs/>
          <w:sz w:val="22"/>
          <w:szCs w:val="22"/>
        </w:rPr>
        <w:t>Wymagane w ofercie dokumenty</w:t>
      </w:r>
      <w:r>
        <w:rPr>
          <w:sz w:val="22"/>
          <w:szCs w:val="22"/>
        </w:rPr>
        <w:t xml:space="preserve">: </w:t>
      </w:r>
    </w:p>
    <w:p w:rsidR="00336CA6" w:rsidRDefault="00336CA6" w:rsidP="000B48A9">
      <w:pPr>
        <w:numPr>
          <w:ilvl w:val="0"/>
          <w:numId w:val="3"/>
        </w:numPr>
        <w:tabs>
          <w:tab w:val="left" w:pos="851"/>
        </w:tabs>
        <w:ind w:left="851" w:hanging="284"/>
      </w:pPr>
      <w:r>
        <w:rPr>
          <w:sz w:val="22"/>
          <w:szCs w:val="22"/>
        </w:rPr>
        <w:t>deklaracja zgodności potwierdzająca oznakowanie wyrobu znakiem CE,</w:t>
      </w:r>
    </w:p>
    <w:p w:rsidR="00336CA6" w:rsidRDefault="00336CA6" w:rsidP="000B48A9">
      <w:pPr>
        <w:numPr>
          <w:ilvl w:val="0"/>
          <w:numId w:val="3"/>
        </w:numPr>
        <w:tabs>
          <w:tab w:val="left" w:pos="851"/>
        </w:tabs>
        <w:ind w:left="851" w:hanging="284"/>
      </w:pPr>
      <w:r>
        <w:rPr>
          <w:sz w:val="22"/>
          <w:szCs w:val="22"/>
        </w:rPr>
        <w:t>instrukcja w języku polskim,</w:t>
      </w:r>
    </w:p>
    <w:p w:rsidR="00336CA6" w:rsidRDefault="00336CA6" w:rsidP="000B48A9">
      <w:pPr>
        <w:numPr>
          <w:ilvl w:val="0"/>
          <w:numId w:val="4"/>
        </w:numPr>
        <w:tabs>
          <w:tab w:val="left" w:pos="851"/>
        </w:tabs>
        <w:jc w:val="both"/>
      </w:pPr>
      <w:r>
        <w:rPr>
          <w:sz w:val="22"/>
          <w:szCs w:val="22"/>
        </w:rPr>
        <w:t>specyfikacja techniczna producenta zaoferowanego powyżej urządzenia.</w:t>
      </w:r>
    </w:p>
    <w:p w:rsidR="00336CA6" w:rsidRPr="000B48A9" w:rsidRDefault="00336CA6" w:rsidP="000B48A9">
      <w:pPr>
        <w:pStyle w:val="ListParagraph"/>
        <w:numPr>
          <w:ilvl w:val="0"/>
          <w:numId w:val="7"/>
        </w:numPr>
        <w:snapToGrid w:val="0"/>
        <w:jc w:val="both"/>
        <w:rPr>
          <w:sz w:val="22"/>
          <w:szCs w:val="22"/>
        </w:rPr>
      </w:pPr>
      <w:r w:rsidRPr="000B48A9">
        <w:rPr>
          <w:sz w:val="22"/>
          <w:szCs w:val="22"/>
        </w:rPr>
        <w:t>zgłoszenie do bazy danych Prezesa URPLWMiPB na podstawie ustawy z dnia 20 maja 2010 r. o wyrobach medycznych lub    powiadomienie Prezesa URPLWMiPB o wprowadzeniu wyrobu na terytorium RP na podstawie ustawy z dnia 20 maja 2010 r. o wyrobach medycznych.</w:t>
      </w:r>
    </w:p>
    <w:p w:rsidR="00336CA6" w:rsidRDefault="00336CA6" w:rsidP="000B48A9">
      <w:pPr>
        <w:tabs>
          <w:tab w:val="left" w:pos="851"/>
        </w:tabs>
        <w:jc w:val="both"/>
        <w:rPr>
          <w:sz w:val="22"/>
          <w:szCs w:val="22"/>
        </w:rPr>
      </w:pPr>
    </w:p>
    <w:p w:rsidR="00336CA6" w:rsidRDefault="00336CA6" w:rsidP="000B48A9">
      <w:pPr>
        <w:tabs>
          <w:tab w:val="left" w:pos="851"/>
        </w:tabs>
        <w:jc w:val="both"/>
        <w:rPr>
          <w:sz w:val="22"/>
          <w:szCs w:val="22"/>
        </w:rPr>
      </w:pPr>
    </w:p>
    <w:p w:rsidR="00336CA6" w:rsidRDefault="00336CA6" w:rsidP="000B48A9">
      <w:pPr>
        <w:ind w:firstLine="7920"/>
        <w:jc w:val="center"/>
      </w:pPr>
      <w:r>
        <w:rPr>
          <w:sz w:val="22"/>
          <w:szCs w:val="22"/>
        </w:rPr>
        <w:t>…………..………………………….</w:t>
      </w:r>
    </w:p>
    <w:p w:rsidR="00336CA6" w:rsidRDefault="00336CA6" w:rsidP="000B48A9">
      <w:pPr>
        <w:tabs>
          <w:tab w:val="left" w:pos="10005"/>
        </w:tabs>
        <w:ind w:firstLine="7920"/>
        <w:jc w:val="center"/>
      </w:pPr>
      <w:r>
        <w:rPr>
          <w:sz w:val="22"/>
          <w:szCs w:val="22"/>
        </w:rPr>
        <w:t>(data i podpis Wykonawcy)</w:t>
      </w:r>
    </w:p>
    <w:p w:rsidR="00336CA6" w:rsidRDefault="00336CA6" w:rsidP="000B48A9">
      <w:pPr>
        <w:tabs>
          <w:tab w:val="left" w:pos="10005"/>
        </w:tabs>
        <w:ind w:firstLine="7920"/>
        <w:jc w:val="center"/>
        <w:rPr>
          <w:sz w:val="22"/>
          <w:szCs w:val="22"/>
        </w:rPr>
      </w:pPr>
    </w:p>
    <w:p w:rsidR="00336CA6" w:rsidRDefault="00336CA6" w:rsidP="000B48A9">
      <w:pPr>
        <w:rPr>
          <w:sz w:val="22"/>
          <w:szCs w:val="22"/>
        </w:rPr>
      </w:pPr>
    </w:p>
    <w:p w:rsidR="00336CA6" w:rsidRDefault="00336CA6" w:rsidP="000B48A9">
      <w:pPr>
        <w:rPr>
          <w:sz w:val="22"/>
          <w:szCs w:val="22"/>
        </w:rPr>
      </w:pPr>
    </w:p>
    <w:p w:rsidR="00336CA6" w:rsidRDefault="00336CA6" w:rsidP="000B48A9">
      <w:r>
        <w:rPr>
          <w:b/>
          <w:bCs/>
          <w:sz w:val="22"/>
          <w:szCs w:val="22"/>
        </w:rPr>
        <w:t>Miejsce dostaw, telefon kontaktowy, ilość sztuk</w:t>
      </w:r>
      <w:r>
        <w:rPr>
          <w:sz w:val="22"/>
          <w:szCs w:val="22"/>
        </w:rPr>
        <w:t xml:space="preserve">: </w:t>
      </w:r>
    </w:p>
    <w:p w:rsidR="00336CA6" w:rsidRDefault="00336CA6" w:rsidP="000B48A9">
      <w:pPr>
        <w:tabs>
          <w:tab w:val="left" w:pos="10005"/>
        </w:tabs>
        <w:ind w:firstLine="7920"/>
        <w:jc w:val="center"/>
        <w:rPr>
          <w:sz w:val="22"/>
          <w:szCs w:val="22"/>
        </w:rPr>
      </w:pPr>
    </w:p>
    <w:p w:rsidR="00336CA6" w:rsidRDefault="00336CA6" w:rsidP="000B48A9">
      <w:pPr>
        <w:tabs>
          <w:tab w:val="left" w:pos="10005"/>
        </w:tabs>
        <w:ind w:firstLine="7920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43"/>
        <w:gridCol w:w="6297"/>
        <w:gridCol w:w="4680"/>
        <w:gridCol w:w="3060"/>
        <w:gridCol w:w="1300"/>
      </w:tblGrid>
      <w:tr w:rsidR="00336CA6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miejsca dostawy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Adres miejsca dostawy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336CA6">
        <w:trPr>
          <w:trHeight w:val="6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</w:pPr>
            <w:r>
              <w:rPr>
                <w:sz w:val="22"/>
                <w:szCs w:val="22"/>
              </w:rPr>
              <w:t>Wojskowe Centrum Krwiodawstwa i Krwiolecznictwa SPZOZ – Terenowa Stacja w Gdańsku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ul. Polanki 117</w:t>
            </w:r>
          </w:p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80-305 Gdańsk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261-216-526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A6" w:rsidRDefault="00336CA6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36CA6" w:rsidRDefault="00336CA6" w:rsidP="000B48A9">
      <w:pPr>
        <w:tabs>
          <w:tab w:val="left" w:pos="10005"/>
        </w:tabs>
        <w:ind w:firstLine="7920"/>
        <w:rPr>
          <w:sz w:val="22"/>
          <w:szCs w:val="22"/>
        </w:rPr>
      </w:pPr>
    </w:p>
    <w:p w:rsidR="00336CA6" w:rsidRDefault="00336CA6" w:rsidP="000B48A9">
      <w:pPr>
        <w:ind w:left="92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6CA6" w:rsidRDefault="00336CA6"/>
    <w:sectPr w:rsidR="00336CA6" w:rsidSect="000B4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/>
        <w:b w:val="0"/>
        <w:bCs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19" w:hanging="360"/>
      </w:pPr>
      <w:rPr>
        <w:rFonts w:ascii="Times New Roman" w:hAnsi="Times New Roman" w:cs="Times New Roman"/>
      </w:rPr>
    </w:lvl>
  </w:abstractNum>
  <w:abstractNum w:abstractNumId="4">
    <w:nsid w:val="23006D63"/>
    <w:multiLevelType w:val="hybridMultilevel"/>
    <w:tmpl w:val="7F1CC9B4"/>
    <w:lvl w:ilvl="0" w:tplc="0415000B">
      <w:start w:val="1"/>
      <w:numFmt w:val="bullet"/>
      <w:lvlText w:val=""/>
      <w:lvlJc w:val="left"/>
      <w:pPr>
        <w:ind w:left="92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3" w:hanging="360"/>
      </w:pPr>
      <w:rPr>
        <w:rFonts w:ascii="Wingdings" w:hAnsi="Wingdings" w:cs="Wingdings" w:hint="default"/>
      </w:rPr>
    </w:lvl>
  </w:abstractNum>
  <w:abstractNum w:abstractNumId="5">
    <w:nsid w:val="60C65392"/>
    <w:multiLevelType w:val="hybridMultilevel"/>
    <w:tmpl w:val="3664E6AE"/>
    <w:lvl w:ilvl="0" w:tplc="4C3C2420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A9"/>
    <w:rsid w:val="00061E15"/>
    <w:rsid w:val="000B48A9"/>
    <w:rsid w:val="00142D51"/>
    <w:rsid w:val="001D1289"/>
    <w:rsid w:val="001D4FC6"/>
    <w:rsid w:val="002A5F7A"/>
    <w:rsid w:val="00336CA6"/>
    <w:rsid w:val="003E584B"/>
    <w:rsid w:val="00481B10"/>
    <w:rsid w:val="004D6EB4"/>
    <w:rsid w:val="005512FE"/>
    <w:rsid w:val="005A6EA5"/>
    <w:rsid w:val="005D56E5"/>
    <w:rsid w:val="0061785E"/>
    <w:rsid w:val="006D394C"/>
    <w:rsid w:val="006E54AE"/>
    <w:rsid w:val="00700750"/>
    <w:rsid w:val="008C2AE1"/>
    <w:rsid w:val="00A22432"/>
    <w:rsid w:val="00A455CD"/>
    <w:rsid w:val="00BE470E"/>
    <w:rsid w:val="00BF151A"/>
    <w:rsid w:val="00C212B2"/>
    <w:rsid w:val="00D62F14"/>
    <w:rsid w:val="00D9150E"/>
    <w:rsid w:val="00DA4C1A"/>
    <w:rsid w:val="00DB1CF0"/>
    <w:rsid w:val="00EF57EC"/>
    <w:rsid w:val="00F03C5B"/>
    <w:rsid w:val="00F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48A9"/>
    <w:pPr>
      <w:suppressAutoHyphens/>
    </w:pPr>
    <w:rPr>
      <w:rFonts w:cs="Calibri"/>
      <w:lang w:eastAsia="zh-CN"/>
    </w:rPr>
  </w:style>
  <w:style w:type="paragraph" w:customStyle="1" w:styleId="ListParagraph1">
    <w:name w:val="List Paragraph1"/>
    <w:uiPriority w:val="99"/>
    <w:rsid w:val="000B48A9"/>
    <w:pPr>
      <w:widowControl w:val="0"/>
      <w:suppressAutoHyphens/>
      <w:spacing w:after="160" w:line="252" w:lineRule="auto"/>
      <w:ind w:left="720"/>
    </w:pPr>
    <w:rPr>
      <w:rFonts w:cs="Calibri"/>
      <w:kern w:val="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0B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4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48A9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48A9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0B48A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0B48A9"/>
    <w:pPr>
      <w:suppressAutoHyphens w:val="0"/>
      <w:spacing w:after="160" w:line="256" w:lineRule="auto"/>
      <w:ind w:left="720"/>
    </w:pPr>
    <w:rPr>
      <w:rFonts w:eastAsia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1200</Words>
  <Characters>7204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Sprawa Nr 54/D/2022</dc:title>
  <dc:subject/>
  <dc:creator>m.luciak</dc:creator>
  <cp:keywords/>
  <dc:description/>
  <cp:lastModifiedBy>user</cp:lastModifiedBy>
  <cp:revision>3</cp:revision>
  <cp:lastPrinted>2022-10-03T08:34:00Z</cp:lastPrinted>
  <dcterms:created xsi:type="dcterms:W3CDTF">2022-10-03T08:47:00Z</dcterms:created>
  <dcterms:modified xsi:type="dcterms:W3CDTF">2022-10-03T10:07:00Z</dcterms:modified>
</cp:coreProperties>
</file>