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197" w:rsidRDefault="00225197" w:rsidP="00225197">
      <w:pPr>
        <w:pStyle w:val="Zwykytekst1"/>
        <w:spacing w:before="120" w:after="120"/>
        <w:jc w:val="both"/>
        <w:rPr>
          <w:rFonts w:ascii="Calibri" w:hAnsi="Calibri" w:cs="Calibri"/>
          <w:bCs/>
          <w:i/>
          <w:iCs/>
          <w:szCs w:val="24"/>
          <w:lang w:val="x-none" w:eastAsia="pl-P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016"/>
      </w:tblGrid>
      <w:tr w:rsidR="00225197" w:rsidTr="00265C64">
        <w:trPr>
          <w:jc w:val="center"/>
        </w:trPr>
        <w:tc>
          <w:tcPr>
            <w:tcW w:w="9060" w:type="dxa"/>
            <w:shd w:val="clear" w:color="auto" w:fill="D9D9D9" w:themeFill="background1" w:themeFillShade="D9"/>
          </w:tcPr>
          <w:p w:rsidR="00225197" w:rsidRPr="0034659C" w:rsidRDefault="00225197" w:rsidP="00265C64">
            <w:pPr>
              <w:pStyle w:val="Heading6"/>
              <w:spacing w:after="120"/>
              <w:outlineLvl w:val="5"/>
              <w:rPr>
                <w:rFonts w:asciiTheme="minorHAnsi" w:hAnsiTheme="minorHAnsi" w:cstheme="minorHAnsi"/>
                <w:spacing w:val="30"/>
                <w:sz w:val="20"/>
                <w:szCs w:val="20"/>
              </w:rPr>
            </w:pPr>
            <w:r>
              <w:rPr>
                <w:rFonts w:ascii="Calibri" w:hAnsi="Calibri" w:cs="Calibri"/>
                <w:bCs w:val="0"/>
                <w:spacing w:val="30"/>
                <w:sz w:val="20"/>
                <w:szCs w:val="20"/>
              </w:rPr>
              <w:t>Formularz 2.2</w:t>
            </w:r>
          </w:p>
          <w:p w:rsidR="00225197" w:rsidRPr="00D50C8B" w:rsidRDefault="00225197" w:rsidP="00265C64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Wykaz parametrów technicznych 2 serwerów typu performance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dla części 1</w:t>
            </w:r>
          </w:p>
        </w:tc>
      </w:tr>
    </w:tbl>
    <w:p w:rsidR="00225197" w:rsidRPr="00C547C6" w:rsidRDefault="00225197" w:rsidP="00225197">
      <w:pPr>
        <w:pStyle w:val="Zwykytekst1"/>
        <w:spacing w:before="120" w:after="120"/>
        <w:jc w:val="both"/>
        <w:rPr>
          <w:rFonts w:ascii="Calibri" w:hAnsi="Calibri" w:cs="Calibri"/>
          <w:bCs/>
          <w:iCs/>
          <w:szCs w:val="24"/>
          <w:lang w:eastAsia="pl-PL"/>
        </w:rPr>
      </w:pPr>
      <w:r>
        <w:rPr>
          <w:rFonts w:ascii="Calibri" w:hAnsi="Calibri" w:cs="Calibri"/>
          <w:bCs/>
          <w:iCs/>
          <w:szCs w:val="24"/>
          <w:lang w:eastAsia="pl-PL"/>
        </w:rPr>
        <w:t>Niniejszym oświadczamy, iż oferujemy następujące urządzenia zgodne z poniższymi wymaganiami:</w:t>
      </w:r>
    </w:p>
    <w:p w:rsidR="00225197" w:rsidRPr="0094706F" w:rsidRDefault="00225197" w:rsidP="00225197">
      <w:pPr>
        <w:pStyle w:val="Zwykytekst1"/>
        <w:numPr>
          <w:ilvl w:val="1"/>
          <w:numId w:val="1"/>
        </w:numPr>
        <w:spacing w:before="120" w:after="12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Oba serwery oferowane i dostarczone są</w:t>
      </w:r>
      <w:r w:rsidRPr="0094706F">
        <w:rPr>
          <w:rFonts w:ascii="Calibri" w:hAnsi="Calibri" w:cs="Calibri"/>
          <w:bCs/>
          <w:iCs/>
        </w:rPr>
        <w:t xml:space="preserve"> jednostkami jednakowymi. </w:t>
      </w:r>
      <w:r>
        <w:rPr>
          <w:rFonts w:ascii="Calibri" w:hAnsi="Calibri" w:cs="Calibri"/>
          <w:bCs/>
          <w:iCs/>
        </w:rPr>
        <w:t xml:space="preserve">Dostarczone serwery </w:t>
      </w:r>
      <w:r w:rsidRPr="0094706F">
        <w:rPr>
          <w:rFonts w:ascii="Calibri" w:hAnsi="Calibri" w:cs="Calibri"/>
          <w:bCs/>
          <w:iCs/>
        </w:rPr>
        <w:t xml:space="preserve">muszą mieć identyczne parametry </w:t>
      </w:r>
      <w:r>
        <w:rPr>
          <w:rFonts w:ascii="Calibri" w:hAnsi="Calibri" w:cs="Calibri"/>
          <w:bCs/>
          <w:iCs/>
        </w:rPr>
        <w:t xml:space="preserve">i użyte komponenty. Serwery nadają się do pracy w systemie redundantnym - </w:t>
      </w:r>
      <w:r w:rsidRPr="0094706F">
        <w:rPr>
          <w:rFonts w:ascii="Calibri" w:hAnsi="Calibri" w:cs="Calibri"/>
          <w:bCs/>
          <w:iCs/>
        </w:rPr>
        <w:t>w przypadku awarii jednego</w:t>
      </w:r>
      <w:r>
        <w:rPr>
          <w:rFonts w:ascii="Calibri" w:hAnsi="Calibri" w:cs="Calibri"/>
          <w:bCs/>
          <w:iCs/>
        </w:rPr>
        <w:t xml:space="preserve"> drugi całkowicie przejmuje</w:t>
      </w:r>
      <w:r w:rsidRPr="0094706F">
        <w:rPr>
          <w:rFonts w:ascii="Calibri" w:hAnsi="Calibri" w:cs="Calibri"/>
          <w:bCs/>
          <w:iCs/>
        </w:rPr>
        <w:t xml:space="preserve"> funkcje</w:t>
      </w:r>
      <w:r>
        <w:rPr>
          <w:rFonts w:ascii="Calibri" w:hAnsi="Calibri" w:cs="Calibri"/>
          <w:bCs/>
          <w:iCs/>
        </w:rPr>
        <w:t xml:space="preserve"> pierwszego.</w:t>
      </w:r>
    </w:p>
    <w:p w:rsidR="00225197" w:rsidRPr="00C06896" w:rsidRDefault="00225197" w:rsidP="00225197">
      <w:pPr>
        <w:pStyle w:val="Zwykytekst1"/>
        <w:numPr>
          <w:ilvl w:val="1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>Obudowa: zapewniająca:</w:t>
      </w:r>
    </w:p>
    <w:p w:rsidR="00225197" w:rsidRPr="00C06896" w:rsidRDefault="00225197" w:rsidP="00225197">
      <w:pPr>
        <w:pStyle w:val="Zwykytekst1"/>
        <w:numPr>
          <w:ilvl w:val="2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 xml:space="preserve">min. 8 kieszeni „hot-swap” na dyski SAS, </w:t>
      </w:r>
    </w:p>
    <w:p w:rsidR="00225197" w:rsidRPr="00C06896" w:rsidRDefault="00225197" w:rsidP="00225197">
      <w:pPr>
        <w:pStyle w:val="Zwykytekst1"/>
        <w:numPr>
          <w:ilvl w:val="2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>min. 2 sloty M.2 wewnątrz obudowy z możliwością RAID 1,</w:t>
      </w:r>
    </w:p>
    <w:p w:rsidR="00225197" w:rsidRDefault="00225197" w:rsidP="00225197">
      <w:pPr>
        <w:pStyle w:val="Zwykytekst1"/>
        <w:numPr>
          <w:ilvl w:val="2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>min. 2 sloty na zasilacze</w:t>
      </w:r>
      <w:r>
        <w:rPr>
          <w:rFonts w:ascii="Calibri" w:hAnsi="Calibri" w:cs="Calibri"/>
          <w:bCs/>
          <w:iCs/>
        </w:rPr>
        <w:t>;</w:t>
      </w:r>
    </w:p>
    <w:p w:rsidR="00225197" w:rsidRPr="002139B5" w:rsidRDefault="00225197" w:rsidP="00225197">
      <w:pPr>
        <w:pStyle w:val="Zwykytekst1"/>
        <w:numPr>
          <w:ilvl w:val="2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umożliwiająca montaż w szafie rakowej 19”</w:t>
      </w:r>
    </w:p>
    <w:p w:rsidR="00225197" w:rsidRPr="00C06896" w:rsidRDefault="00225197" w:rsidP="00225197">
      <w:pPr>
        <w:pStyle w:val="Zwykytekst1"/>
        <w:numPr>
          <w:ilvl w:val="1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>Procesor:</w:t>
      </w:r>
    </w:p>
    <w:p w:rsidR="00225197" w:rsidRPr="00C06896" w:rsidRDefault="00225197" w:rsidP="00225197">
      <w:pPr>
        <w:pStyle w:val="Zwykytekst1"/>
        <w:numPr>
          <w:ilvl w:val="2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 xml:space="preserve">O wydajności nie mniejszej niż 95 000 punktów (CPU Mark) (wg. zestawienia dostępnego na stronie: </w:t>
      </w:r>
      <w:hyperlink r:id="rId5" w:tgtFrame="_blank" w:history="1">
        <w:r w:rsidRPr="00C06896">
          <w:rPr>
            <w:rStyle w:val="Hyperlink"/>
            <w:rFonts w:ascii="Calibri" w:hAnsi="Calibri" w:cs="Calibri"/>
            <w:bCs/>
            <w:iCs/>
          </w:rPr>
          <w:t>https://www.cpubenchmark.net/</w:t>
        </w:r>
      </w:hyperlink>
      <w:r w:rsidRPr="00C06896">
        <w:rPr>
          <w:rFonts w:ascii="Calibri" w:hAnsi="Calibri" w:cs="Calibri"/>
          <w:bCs/>
          <w:iCs/>
        </w:rPr>
        <w:t xml:space="preserve"> z dnia wszczęcia postępowania – załącznik nr 1 do </w:t>
      </w:r>
      <w:r>
        <w:rPr>
          <w:rFonts w:ascii="Calibri" w:hAnsi="Calibri" w:cs="Calibri"/>
          <w:bCs/>
          <w:iCs/>
        </w:rPr>
        <w:t>niniejszego formularza</w:t>
      </w:r>
      <w:r w:rsidRPr="00C06896">
        <w:rPr>
          <w:rFonts w:ascii="Calibri" w:hAnsi="Calibri" w:cs="Calibri"/>
          <w:bCs/>
          <w:iCs/>
        </w:rPr>
        <w:t>),</w:t>
      </w:r>
    </w:p>
    <w:p w:rsidR="00225197" w:rsidRPr="00C06896" w:rsidRDefault="00225197" w:rsidP="00225197">
      <w:pPr>
        <w:pStyle w:val="Zwykytekst1"/>
        <w:numPr>
          <w:ilvl w:val="1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>Pamięć RAM:</w:t>
      </w:r>
    </w:p>
    <w:p w:rsidR="00225197" w:rsidRPr="00C06896" w:rsidRDefault="00225197" w:rsidP="00225197">
      <w:pPr>
        <w:pStyle w:val="Zwykytekst1"/>
        <w:numPr>
          <w:ilvl w:val="2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>min. 512 GB,</w:t>
      </w:r>
    </w:p>
    <w:p w:rsidR="00225197" w:rsidRPr="00C06896" w:rsidRDefault="00225197" w:rsidP="00225197">
      <w:pPr>
        <w:pStyle w:val="Zwykytekst1"/>
        <w:numPr>
          <w:ilvl w:val="1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>Kontroler RAID:</w:t>
      </w:r>
    </w:p>
    <w:p w:rsidR="00225197" w:rsidRPr="00C06896" w:rsidRDefault="00225197" w:rsidP="00225197">
      <w:pPr>
        <w:pStyle w:val="Zwykytekst1"/>
        <w:numPr>
          <w:ilvl w:val="2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>sprzętowy obsługujący poziomy co najmniej:  0,1,5,6</w:t>
      </w:r>
    </w:p>
    <w:p w:rsidR="00225197" w:rsidRPr="00C06896" w:rsidRDefault="00225197" w:rsidP="00225197">
      <w:pPr>
        <w:pStyle w:val="Zwykytekst1"/>
        <w:numPr>
          <w:ilvl w:val="2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 xml:space="preserve">odsługujący dyski </w:t>
      </w:r>
      <w:r w:rsidRPr="00554409">
        <w:rPr>
          <w:rFonts w:ascii="Calibri" w:hAnsi="Calibri" w:cs="Calibri"/>
          <w:bCs/>
          <w:iCs/>
        </w:rPr>
        <w:t>SAS</w:t>
      </w:r>
      <w:r w:rsidRPr="00C06896">
        <w:rPr>
          <w:rFonts w:ascii="Calibri" w:hAnsi="Calibri" w:cs="Calibri"/>
          <w:bCs/>
          <w:iCs/>
        </w:rPr>
        <w:t>,</w:t>
      </w:r>
    </w:p>
    <w:p w:rsidR="00225197" w:rsidRPr="00C06896" w:rsidRDefault="00225197" w:rsidP="00225197">
      <w:pPr>
        <w:pStyle w:val="Zwykytekst1"/>
        <w:numPr>
          <w:ilvl w:val="2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>zapewniający przepustowość: 12GB/s dla dysków SAS</w:t>
      </w:r>
    </w:p>
    <w:p w:rsidR="00225197" w:rsidRPr="00C06896" w:rsidRDefault="00225197" w:rsidP="00225197">
      <w:pPr>
        <w:pStyle w:val="Zwykytekst1"/>
        <w:numPr>
          <w:ilvl w:val="1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>Dyski, serwer powinien posiadać:</w:t>
      </w:r>
    </w:p>
    <w:p w:rsidR="00225197" w:rsidRPr="00C06896" w:rsidRDefault="00225197" w:rsidP="00225197">
      <w:pPr>
        <w:pStyle w:val="Zwykytekst1"/>
        <w:numPr>
          <w:ilvl w:val="2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 xml:space="preserve">co najmniej 6 dysków typu:  SAS </w:t>
      </w:r>
      <w:r w:rsidRPr="00554409">
        <w:rPr>
          <w:rFonts w:ascii="Calibri" w:hAnsi="Calibri" w:cs="Calibri"/>
          <w:bCs/>
          <w:iCs/>
        </w:rPr>
        <w:t>HDD lub SSD</w:t>
      </w:r>
      <w:r>
        <w:rPr>
          <w:rFonts w:ascii="Calibri" w:hAnsi="Calibri" w:cs="Calibri"/>
          <w:bCs/>
          <w:iCs/>
        </w:rPr>
        <w:t xml:space="preserve">, Hot-plug </w:t>
      </w:r>
      <w:r w:rsidRPr="00C06896">
        <w:rPr>
          <w:rFonts w:ascii="Calibri" w:hAnsi="Calibri" w:cs="Calibri"/>
          <w:bCs/>
          <w:iCs/>
        </w:rPr>
        <w:t xml:space="preserve">o pojemności nie mniejszej </w:t>
      </w:r>
      <w:r>
        <w:rPr>
          <w:rFonts w:ascii="Calibri" w:hAnsi="Calibri" w:cs="Calibri"/>
          <w:bCs/>
          <w:iCs/>
        </w:rPr>
        <w:t>niż 2.4 TB każdy;</w:t>
      </w:r>
    </w:p>
    <w:p w:rsidR="00225197" w:rsidRPr="00C06896" w:rsidRDefault="00225197" w:rsidP="00225197">
      <w:pPr>
        <w:pStyle w:val="Zwykytekst1"/>
        <w:numPr>
          <w:ilvl w:val="2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 xml:space="preserve">co najmniej 2 dyski  typu: SAS SSD,  Mixed-used (min. 3DWPD), Hot-plug.  o pojemności nie mniejszej niż 1.6 TB każdy, </w:t>
      </w:r>
    </w:p>
    <w:p w:rsidR="00225197" w:rsidRPr="00C06896" w:rsidRDefault="00225197" w:rsidP="00225197">
      <w:pPr>
        <w:pStyle w:val="Zwykytekst1"/>
        <w:numPr>
          <w:ilvl w:val="2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 xml:space="preserve">co najmniej 2 dyski typu: NVMe SSD M.2 o pojemności nie mniejszej niż 960 GB każdy </w:t>
      </w:r>
    </w:p>
    <w:p w:rsidR="00225197" w:rsidRPr="00C06896" w:rsidRDefault="00225197" w:rsidP="00225197">
      <w:pPr>
        <w:pStyle w:val="Zwykytekst1"/>
        <w:numPr>
          <w:ilvl w:val="1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>Interfejsy sieciowe:</w:t>
      </w:r>
    </w:p>
    <w:p w:rsidR="00225197" w:rsidRPr="00C06896" w:rsidRDefault="00225197" w:rsidP="00225197">
      <w:pPr>
        <w:pStyle w:val="Zwykytekst1"/>
        <w:numPr>
          <w:ilvl w:val="2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>2x 1Gb/s (RJ-45),</w:t>
      </w:r>
    </w:p>
    <w:p w:rsidR="00225197" w:rsidRPr="00C06896" w:rsidRDefault="00225197" w:rsidP="00225197">
      <w:pPr>
        <w:pStyle w:val="Zwykytekst1"/>
        <w:numPr>
          <w:ilvl w:val="2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 xml:space="preserve">4x SPF28 lub 4xSFP+ lub 4x 10GBase-T (RJ-45) </w:t>
      </w:r>
    </w:p>
    <w:p w:rsidR="00225197" w:rsidRPr="00C06896" w:rsidRDefault="00225197" w:rsidP="00225197">
      <w:pPr>
        <w:pStyle w:val="Zwykytekst1"/>
        <w:numPr>
          <w:ilvl w:val="1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>Zasilanie:</w:t>
      </w:r>
    </w:p>
    <w:p w:rsidR="00225197" w:rsidRPr="00C06896" w:rsidRDefault="00225197" w:rsidP="00225197">
      <w:pPr>
        <w:pStyle w:val="Zwykytekst1"/>
        <w:numPr>
          <w:ilvl w:val="2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>Zasilacz redundantny (min. 2 sztuki)</w:t>
      </w:r>
    </w:p>
    <w:p w:rsidR="00225197" w:rsidRPr="00C06896" w:rsidRDefault="00225197" w:rsidP="00225197">
      <w:pPr>
        <w:pStyle w:val="Zwykytekst1"/>
        <w:numPr>
          <w:ilvl w:val="2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>hot-swap</w:t>
      </w:r>
    </w:p>
    <w:p w:rsidR="00225197" w:rsidRPr="00C06896" w:rsidRDefault="00225197" w:rsidP="00225197">
      <w:pPr>
        <w:pStyle w:val="Zwykytekst1"/>
        <w:numPr>
          <w:ilvl w:val="1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>Zdalne zarządzanie:</w:t>
      </w:r>
    </w:p>
    <w:p w:rsidR="00225197" w:rsidRPr="00C06896" w:rsidRDefault="00225197" w:rsidP="00225197">
      <w:pPr>
        <w:pStyle w:val="Zwykytekst1"/>
        <w:numPr>
          <w:ilvl w:val="2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>Obsługa protokołu IPMI</w:t>
      </w:r>
    </w:p>
    <w:p w:rsidR="00225197" w:rsidRPr="00C06896" w:rsidRDefault="00225197" w:rsidP="00225197">
      <w:pPr>
        <w:pStyle w:val="Zwykytekst1"/>
        <w:numPr>
          <w:ilvl w:val="2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>Dostęp przez osobny port RJ-45</w:t>
      </w:r>
    </w:p>
    <w:p w:rsidR="00225197" w:rsidRPr="00C06896" w:rsidRDefault="00225197" w:rsidP="00225197">
      <w:pPr>
        <w:pStyle w:val="Zwykytekst1"/>
        <w:numPr>
          <w:ilvl w:val="2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>Aplikacja dla platformy Android użytkowanej przez Zamawiającego do zarządzania serwerem</w:t>
      </w:r>
      <w:r>
        <w:rPr>
          <w:rFonts w:ascii="Calibri" w:hAnsi="Calibri" w:cs="Calibri"/>
          <w:bCs/>
          <w:iCs/>
        </w:rPr>
        <w:t xml:space="preserve"> lub inne</w:t>
      </w:r>
      <w:r>
        <w:rPr>
          <w:rFonts w:ascii="Calibri" w:hAnsi="Calibri" w:cs="Calibri"/>
          <w:color w:val="000000"/>
        </w:rPr>
        <w:t xml:space="preserve"> rozwiązanie</w:t>
      </w:r>
      <w:r w:rsidRPr="00763ABD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umożliwiajace</w:t>
      </w:r>
      <w:r w:rsidRPr="00763ABD">
        <w:rPr>
          <w:rFonts w:ascii="Calibri" w:hAnsi="Calibri" w:cs="Calibri"/>
          <w:color w:val="000000"/>
        </w:rPr>
        <w:t xml:space="preserve"> zarządzanie serwerem</w:t>
      </w:r>
      <w:r>
        <w:rPr>
          <w:rFonts w:ascii="Calibri" w:hAnsi="Calibri" w:cs="Calibri"/>
          <w:color w:val="000000"/>
        </w:rPr>
        <w:t xml:space="preserve"> przy pomocy urządzeń przenośnych</w:t>
      </w:r>
      <w:r w:rsidRPr="00763ABD">
        <w:rPr>
          <w:rFonts w:ascii="Calibri" w:hAnsi="Calibri" w:cs="Calibri"/>
          <w:color w:val="000000"/>
        </w:rPr>
        <w:t xml:space="preserve">, </w:t>
      </w:r>
      <w:r>
        <w:rPr>
          <w:rFonts w:ascii="Calibri" w:hAnsi="Calibri" w:cs="Calibri"/>
          <w:color w:val="000000"/>
        </w:rPr>
        <w:t xml:space="preserve">pod warunkiem, że jeśli zaproponowane rozwiązanie będzie wymagało </w:t>
      </w:r>
      <w:r>
        <w:rPr>
          <w:rFonts w:ascii="Calibri" w:hAnsi="Calibri" w:cs="Calibri"/>
          <w:color w:val="000000"/>
        </w:rPr>
        <w:lastRenderedPageBreak/>
        <w:t>wykorzystania urządzeń innych niż posiadane przez Zamawiającego telefony komórkowe z systemem Android, Wykonawca dostarczy takie urządzenia w cenie swojej oferty</w:t>
      </w:r>
      <w:r w:rsidRPr="00763ABD">
        <w:rPr>
          <w:rFonts w:ascii="Calibri" w:hAnsi="Calibri" w:cs="Calibri"/>
          <w:color w:val="000000"/>
        </w:rPr>
        <w:t>.</w:t>
      </w:r>
      <w:r>
        <w:rPr>
          <w:rFonts w:ascii="Calibri" w:hAnsi="Calibri" w:cs="Calibri"/>
          <w:color w:val="000000"/>
        </w:rPr>
        <w:t xml:space="preserve"> Zaoferowany system zarządzania musi posiadać </w:t>
      </w:r>
      <w:r w:rsidRPr="00763ABD">
        <w:rPr>
          <w:rFonts w:ascii="Calibri" w:hAnsi="Calibri" w:cs="Calibri"/>
          <w:color w:val="000000"/>
        </w:rPr>
        <w:t>funk</w:t>
      </w:r>
      <w:r>
        <w:rPr>
          <w:rFonts w:ascii="Calibri" w:hAnsi="Calibri" w:cs="Calibri"/>
          <w:color w:val="000000"/>
        </w:rPr>
        <w:t>c</w:t>
      </w:r>
      <w:r w:rsidRPr="00763ABD">
        <w:rPr>
          <w:rFonts w:ascii="Calibri" w:hAnsi="Calibri" w:cs="Calibri"/>
          <w:color w:val="000000"/>
        </w:rPr>
        <w:t>jonalność zdalnego włączenia i wyłączenia serwera oraz podgląd podstawowych parametrów pracy, tj.:</w:t>
      </w:r>
      <w:r w:rsidRPr="009168D5">
        <w:rPr>
          <w:rFonts w:ascii="Calibri" w:hAnsi="Calibri" w:cs="Calibri"/>
          <w:color w:val="000000"/>
        </w:rPr>
        <w:t xml:space="preserve"> co najmniej: temperatura, obciążenie procesorów i pamięci</w:t>
      </w:r>
      <w:r>
        <w:rPr>
          <w:rFonts w:ascii="Calibri" w:hAnsi="Calibri" w:cs="Calibri"/>
          <w:color w:val="000000"/>
        </w:rPr>
        <w:t>.</w:t>
      </w:r>
    </w:p>
    <w:p w:rsidR="00225197" w:rsidRPr="00C06896" w:rsidRDefault="00225197" w:rsidP="00225197">
      <w:pPr>
        <w:pStyle w:val="Zwykytekst1"/>
        <w:numPr>
          <w:ilvl w:val="1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>Gwarancja:</w:t>
      </w:r>
    </w:p>
    <w:p w:rsidR="00225197" w:rsidRPr="002139B5" w:rsidRDefault="00225197" w:rsidP="00225197">
      <w:pPr>
        <w:pStyle w:val="Zwykytekst1"/>
        <w:numPr>
          <w:ilvl w:val="2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 w:rsidRPr="00C06896">
        <w:rPr>
          <w:rFonts w:ascii="Calibri" w:hAnsi="Calibri" w:cs="Calibri"/>
          <w:bCs/>
          <w:iCs/>
        </w:rPr>
        <w:t>okres: min. 5 lat w trybie „następny dzień roboczy”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8"/>
        <w:gridCol w:w="6758"/>
      </w:tblGrid>
      <w:tr w:rsidR="00225197" w:rsidRPr="001B1196" w:rsidTr="00265C64">
        <w:tc>
          <w:tcPr>
            <w:tcW w:w="9060" w:type="dxa"/>
            <w:gridSpan w:val="2"/>
            <w:shd w:val="clear" w:color="auto" w:fill="A6A6A6" w:themeFill="background1" w:themeFillShade="A6"/>
          </w:tcPr>
          <w:p w:rsidR="00225197" w:rsidRDefault="00225197" w:rsidP="00265C64">
            <w:pPr>
              <w:pStyle w:val="Zwykytekst1"/>
              <w:spacing w:before="120" w:after="120"/>
              <w:jc w:val="center"/>
              <w:rPr>
                <w:rFonts w:ascii="Calibri" w:hAnsi="Calibri" w:cs="Calibri"/>
                <w:b/>
                <w:bCs/>
                <w:iCs/>
                <w:szCs w:val="24"/>
                <w:lang w:eastAsia="pl-PL"/>
              </w:rPr>
            </w:pPr>
            <w:r>
              <w:rPr>
                <w:rFonts w:ascii="Calibri" w:hAnsi="Calibri" w:cs="Calibri"/>
                <w:b/>
                <w:bCs/>
                <w:iCs/>
                <w:szCs w:val="24"/>
                <w:lang w:eastAsia="pl-PL"/>
              </w:rPr>
              <w:t>2 jednakowe serwery typu Perfomance</w:t>
            </w:r>
          </w:p>
          <w:p w:rsidR="00225197" w:rsidRDefault="00225197" w:rsidP="00265C64">
            <w:pPr>
              <w:pStyle w:val="Zwykytekst1"/>
              <w:spacing w:before="120" w:after="120"/>
              <w:jc w:val="center"/>
              <w:rPr>
                <w:rFonts w:ascii="Calibri" w:hAnsi="Calibri" w:cs="Calibri"/>
                <w:b/>
                <w:bCs/>
                <w:iCs/>
                <w:szCs w:val="24"/>
                <w:lang w:eastAsia="pl-PL"/>
              </w:rPr>
            </w:pPr>
            <w:r>
              <w:rPr>
                <w:rFonts w:ascii="Calibri" w:hAnsi="Calibri" w:cs="Calibri"/>
                <w:b/>
                <w:bCs/>
                <w:iCs/>
                <w:szCs w:val="24"/>
                <w:lang w:eastAsia="pl-PL"/>
              </w:rPr>
              <w:t>spełniajace wszystkie powyższe wymagania</w:t>
            </w:r>
          </w:p>
          <w:p w:rsidR="00225197" w:rsidRPr="001B1196" w:rsidRDefault="00225197" w:rsidP="00265C64">
            <w:pPr>
              <w:pStyle w:val="Zwykytekst1"/>
              <w:spacing w:before="120" w:after="120"/>
              <w:jc w:val="center"/>
              <w:rPr>
                <w:rFonts w:ascii="Calibri" w:hAnsi="Calibri" w:cs="Calibri"/>
                <w:b/>
                <w:bCs/>
                <w:iCs/>
                <w:szCs w:val="24"/>
                <w:lang w:eastAsia="pl-PL"/>
              </w:rPr>
            </w:pPr>
            <w:r>
              <w:rPr>
                <w:rFonts w:ascii="Calibri" w:hAnsi="Calibri" w:cs="Calibri"/>
                <w:bCs/>
                <w:iCs/>
                <w:szCs w:val="24"/>
                <w:lang w:eastAsia="pl-PL"/>
              </w:rPr>
              <w:t xml:space="preserve"> - należy wypelnić, jeśli wykonawca składa ofertę na część 1</w:t>
            </w:r>
          </w:p>
        </w:tc>
      </w:tr>
      <w:tr w:rsidR="00225197" w:rsidTr="00265C64">
        <w:tc>
          <w:tcPr>
            <w:tcW w:w="2263" w:type="dxa"/>
          </w:tcPr>
          <w:p w:rsidR="00225197" w:rsidRDefault="00225197" w:rsidP="00265C64">
            <w:pPr>
              <w:pStyle w:val="Zwykytekst1"/>
              <w:spacing w:before="120" w:after="120"/>
              <w:jc w:val="both"/>
              <w:rPr>
                <w:rFonts w:ascii="Calibri" w:hAnsi="Calibri" w:cs="Calibri"/>
                <w:bCs/>
                <w:iCs/>
                <w:szCs w:val="24"/>
                <w:lang w:eastAsia="pl-PL"/>
              </w:rPr>
            </w:pPr>
            <w:r>
              <w:rPr>
                <w:rFonts w:ascii="Calibri" w:hAnsi="Calibri" w:cs="Calibri"/>
                <w:bCs/>
                <w:iCs/>
                <w:szCs w:val="24"/>
                <w:lang w:eastAsia="pl-PL"/>
              </w:rPr>
              <w:t>Nazwa lub oznaczenie identyfikujące oba serwery (taki sam produkt)</w:t>
            </w:r>
          </w:p>
        </w:tc>
        <w:tc>
          <w:tcPr>
            <w:tcW w:w="6797" w:type="dxa"/>
          </w:tcPr>
          <w:p w:rsidR="00225197" w:rsidRDefault="00225197" w:rsidP="00265C64">
            <w:pPr>
              <w:pStyle w:val="Zwykytekst1"/>
              <w:spacing w:before="120" w:after="120"/>
              <w:jc w:val="both"/>
              <w:rPr>
                <w:rFonts w:ascii="Calibri" w:hAnsi="Calibri" w:cs="Calibri"/>
                <w:bCs/>
                <w:iCs/>
                <w:szCs w:val="24"/>
                <w:lang w:eastAsia="pl-PL"/>
              </w:rPr>
            </w:pPr>
          </w:p>
        </w:tc>
      </w:tr>
      <w:tr w:rsidR="00225197" w:rsidTr="00265C64">
        <w:tc>
          <w:tcPr>
            <w:tcW w:w="2263" w:type="dxa"/>
          </w:tcPr>
          <w:p w:rsidR="00225197" w:rsidRDefault="00225197" w:rsidP="00265C64">
            <w:pPr>
              <w:pStyle w:val="Zwykytekst1"/>
              <w:spacing w:before="120" w:after="120"/>
              <w:jc w:val="both"/>
              <w:rPr>
                <w:rFonts w:ascii="Calibri" w:hAnsi="Calibri" w:cs="Calibri"/>
                <w:bCs/>
                <w:iCs/>
                <w:szCs w:val="24"/>
                <w:lang w:eastAsia="pl-PL"/>
              </w:rPr>
            </w:pPr>
            <w:r>
              <w:rPr>
                <w:rFonts w:ascii="Calibri" w:hAnsi="Calibri" w:cs="Calibri"/>
                <w:bCs/>
                <w:iCs/>
                <w:szCs w:val="24"/>
                <w:lang w:eastAsia="pl-PL"/>
              </w:rPr>
              <w:t>Nazwa i oznaczenie procesora</w:t>
            </w:r>
          </w:p>
        </w:tc>
        <w:tc>
          <w:tcPr>
            <w:tcW w:w="6797" w:type="dxa"/>
          </w:tcPr>
          <w:p w:rsidR="00225197" w:rsidRDefault="00225197" w:rsidP="00265C64">
            <w:pPr>
              <w:pStyle w:val="Zwykytekst1"/>
              <w:spacing w:before="120" w:after="120"/>
              <w:jc w:val="both"/>
              <w:rPr>
                <w:rFonts w:ascii="Calibri" w:hAnsi="Calibri" w:cs="Calibri"/>
                <w:bCs/>
                <w:iCs/>
                <w:szCs w:val="24"/>
                <w:lang w:eastAsia="pl-PL"/>
              </w:rPr>
            </w:pPr>
          </w:p>
        </w:tc>
      </w:tr>
    </w:tbl>
    <w:p w:rsidR="00225197" w:rsidRDefault="00225197" w:rsidP="00225197">
      <w:pPr>
        <w:spacing w:after="200" w:line="276" w:lineRule="auto"/>
        <w:rPr>
          <w:rFonts w:ascii="Calibri" w:hAnsi="Calibri" w:cs="Calibri"/>
          <w:bCs/>
          <w:iCs/>
          <w:sz w:val="20"/>
          <w:szCs w:val="20"/>
          <w:lang w:eastAsia="ar-SA"/>
        </w:rPr>
      </w:pPr>
      <w:r>
        <w:rPr>
          <w:rFonts w:ascii="Calibri" w:hAnsi="Calibri" w:cs="Calibri"/>
          <w:bCs/>
          <w:iCs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25197" w:rsidTr="00265C64">
        <w:tc>
          <w:tcPr>
            <w:tcW w:w="9060" w:type="dxa"/>
            <w:shd w:val="clear" w:color="auto" w:fill="D9D9D9" w:themeFill="background1" w:themeFillShade="D9"/>
          </w:tcPr>
          <w:p w:rsidR="00225197" w:rsidRPr="0034659C" w:rsidRDefault="00225197" w:rsidP="00265C64">
            <w:pPr>
              <w:pStyle w:val="Heading6"/>
              <w:spacing w:after="120"/>
              <w:outlineLvl w:val="5"/>
              <w:rPr>
                <w:rFonts w:asciiTheme="minorHAnsi" w:hAnsiTheme="minorHAnsi" w:cstheme="minorHAnsi"/>
                <w:spacing w:val="30"/>
                <w:sz w:val="20"/>
                <w:szCs w:val="20"/>
              </w:rPr>
            </w:pPr>
            <w:r>
              <w:rPr>
                <w:rFonts w:ascii="Calibri" w:hAnsi="Calibri" w:cs="Calibri"/>
                <w:bCs w:val="0"/>
                <w:spacing w:val="30"/>
                <w:sz w:val="20"/>
                <w:szCs w:val="20"/>
              </w:rPr>
              <w:lastRenderedPageBreak/>
              <w:t>Formularz 2.2</w:t>
            </w:r>
          </w:p>
          <w:p w:rsidR="00225197" w:rsidRPr="00C547C6" w:rsidRDefault="00225197" w:rsidP="00265C64">
            <w:pPr>
              <w:pStyle w:val="Zwykytekst1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Wykaz parametrów technicznych serwera typu safety </w:t>
            </w:r>
            <w:r>
              <w:rPr>
                <w:rFonts w:asciiTheme="minorHAnsi" w:hAnsiTheme="minorHAnsi" w:cstheme="minorHAnsi"/>
                <w:b/>
              </w:rPr>
              <w:t>dla części 2</w:t>
            </w:r>
          </w:p>
        </w:tc>
      </w:tr>
    </w:tbl>
    <w:p w:rsidR="00225197" w:rsidRPr="005553E5" w:rsidRDefault="00225197" w:rsidP="00225197">
      <w:pPr>
        <w:pStyle w:val="Zwykytekst1"/>
        <w:spacing w:before="120" w:after="120"/>
        <w:jc w:val="both"/>
        <w:rPr>
          <w:rFonts w:ascii="Calibri" w:hAnsi="Calibri" w:cs="Calibri"/>
          <w:bCs/>
          <w:iCs/>
          <w:szCs w:val="24"/>
          <w:lang w:eastAsia="pl-PL"/>
        </w:rPr>
      </w:pPr>
      <w:r>
        <w:rPr>
          <w:rFonts w:ascii="Calibri" w:hAnsi="Calibri" w:cs="Calibri"/>
          <w:bCs/>
          <w:iCs/>
          <w:szCs w:val="24"/>
          <w:lang w:eastAsia="pl-PL"/>
        </w:rPr>
        <w:t>Niniejszym oświadczamy, iż oferujemy następujące urządzenie zgodne z poniższymi wymaganiami:</w:t>
      </w:r>
    </w:p>
    <w:p w:rsidR="00225197" w:rsidRPr="00895482" w:rsidRDefault="00225197" w:rsidP="00225197">
      <w:pPr>
        <w:numPr>
          <w:ilvl w:val="1"/>
          <w:numId w:val="1"/>
        </w:numPr>
        <w:suppressAutoHyphens/>
        <w:overflowPunct w:val="0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>Obudowa: zapewniająca:</w:t>
      </w:r>
    </w:p>
    <w:p w:rsidR="00225197" w:rsidRDefault="00225197" w:rsidP="00225197">
      <w:pPr>
        <w:numPr>
          <w:ilvl w:val="2"/>
          <w:numId w:val="1"/>
        </w:numPr>
        <w:suppressAutoHyphens/>
        <w:overflowPunct w:val="0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>min. 8 kieszeni „hot-swap” na dyski SAS,</w:t>
      </w:r>
    </w:p>
    <w:p w:rsidR="00225197" w:rsidRPr="002139B5" w:rsidRDefault="00225197" w:rsidP="00225197">
      <w:pPr>
        <w:pStyle w:val="Zwykytekst1"/>
        <w:numPr>
          <w:ilvl w:val="2"/>
          <w:numId w:val="1"/>
        </w:numPr>
        <w:spacing w:before="120" w:after="120"/>
        <w:jc w:val="both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umożliwiająca montaż w szafie rakowej 19”</w:t>
      </w:r>
    </w:p>
    <w:p w:rsidR="00225197" w:rsidRPr="00895482" w:rsidRDefault="00225197" w:rsidP="00225197">
      <w:pPr>
        <w:numPr>
          <w:ilvl w:val="1"/>
          <w:numId w:val="1"/>
        </w:numPr>
        <w:suppressAutoHyphens/>
        <w:overflowPunct w:val="0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>Procesor:</w:t>
      </w:r>
    </w:p>
    <w:p w:rsidR="00225197" w:rsidRPr="00895482" w:rsidRDefault="00225197" w:rsidP="00225197">
      <w:pPr>
        <w:numPr>
          <w:ilvl w:val="2"/>
          <w:numId w:val="1"/>
        </w:numPr>
        <w:suppressAutoHyphens/>
        <w:overflowPunct w:val="0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 xml:space="preserve">O wydajności nie mniejszej niż 29 000 punktów (CPU Mark) (wg. zestawienia dostępnego na stronie: </w:t>
      </w:r>
      <w:hyperlink r:id="rId6" w:tgtFrame="_blank" w:history="1">
        <w:r w:rsidRPr="00895482">
          <w:rPr>
            <w:rStyle w:val="Hyperlink"/>
            <w:rFonts w:asciiTheme="minorHAnsi" w:hAnsiTheme="minorHAnsi"/>
            <w:sz w:val="20"/>
            <w:szCs w:val="20"/>
          </w:rPr>
          <w:t>https://www.cpubenchmark.net/</w:t>
        </w:r>
      </w:hyperlink>
      <w:r w:rsidRPr="00895482">
        <w:rPr>
          <w:rFonts w:asciiTheme="minorHAnsi" w:hAnsiTheme="minorHAnsi"/>
          <w:sz w:val="20"/>
          <w:szCs w:val="20"/>
        </w:rPr>
        <w:t xml:space="preserve"> z dnia wszczęcia postępowania – załącznik nr 1 do </w:t>
      </w:r>
      <w:r>
        <w:rPr>
          <w:rFonts w:asciiTheme="minorHAnsi" w:hAnsiTheme="minorHAnsi"/>
          <w:sz w:val="20"/>
          <w:szCs w:val="20"/>
        </w:rPr>
        <w:t>niniejszego formularza</w:t>
      </w:r>
      <w:r w:rsidRPr="00895482">
        <w:rPr>
          <w:rFonts w:asciiTheme="minorHAnsi" w:hAnsiTheme="minorHAnsi"/>
          <w:sz w:val="20"/>
          <w:szCs w:val="20"/>
        </w:rPr>
        <w:t>),</w:t>
      </w:r>
    </w:p>
    <w:p w:rsidR="00225197" w:rsidRPr="00895482" w:rsidRDefault="00225197" w:rsidP="00225197">
      <w:pPr>
        <w:numPr>
          <w:ilvl w:val="1"/>
          <w:numId w:val="1"/>
        </w:numPr>
        <w:suppressAutoHyphens/>
        <w:overflowPunct w:val="0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>Pamięć RAM:</w:t>
      </w:r>
    </w:p>
    <w:p w:rsidR="00225197" w:rsidRPr="00895482" w:rsidRDefault="00225197" w:rsidP="00225197">
      <w:pPr>
        <w:numPr>
          <w:ilvl w:val="2"/>
          <w:numId w:val="1"/>
        </w:numPr>
        <w:suppressAutoHyphens/>
        <w:overflowPunct w:val="0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>min. 64 GB,</w:t>
      </w:r>
    </w:p>
    <w:p w:rsidR="00225197" w:rsidRPr="00895482" w:rsidRDefault="00225197" w:rsidP="00225197">
      <w:pPr>
        <w:numPr>
          <w:ilvl w:val="1"/>
          <w:numId w:val="1"/>
        </w:numPr>
        <w:suppressAutoHyphens/>
        <w:overflowPunct w:val="0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>Kontroler RAID:</w:t>
      </w:r>
    </w:p>
    <w:p w:rsidR="00225197" w:rsidRPr="00895482" w:rsidRDefault="00225197" w:rsidP="00225197">
      <w:pPr>
        <w:numPr>
          <w:ilvl w:val="2"/>
          <w:numId w:val="1"/>
        </w:numPr>
        <w:suppressAutoHyphens/>
        <w:overflowPunct w:val="0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>sprzętowy obsługujący poziomy co najmniej:  0,1,5,6,10</w:t>
      </w:r>
    </w:p>
    <w:p w:rsidR="00225197" w:rsidRPr="00895482" w:rsidRDefault="00225197" w:rsidP="00225197">
      <w:pPr>
        <w:numPr>
          <w:ilvl w:val="2"/>
          <w:numId w:val="1"/>
        </w:numPr>
        <w:suppressAutoHyphens/>
        <w:overflowPunct w:val="0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>odsługujący dyski SAS</w:t>
      </w:r>
    </w:p>
    <w:p w:rsidR="00225197" w:rsidRPr="00895482" w:rsidRDefault="00225197" w:rsidP="00225197">
      <w:pPr>
        <w:numPr>
          <w:ilvl w:val="2"/>
          <w:numId w:val="1"/>
        </w:numPr>
        <w:suppressAutoHyphens/>
        <w:overflowPunct w:val="0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>zapewniający przepustowość: 12GB/s dla dysków SAS</w:t>
      </w:r>
    </w:p>
    <w:p w:rsidR="00225197" w:rsidRPr="00895482" w:rsidRDefault="00225197" w:rsidP="00225197">
      <w:pPr>
        <w:numPr>
          <w:ilvl w:val="1"/>
          <w:numId w:val="1"/>
        </w:numPr>
        <w:suppressAutoHyphens/>
        <w:overflowPunct w:val="0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>Dyski:</w:t>
      </w:r>
    </w:p>
    <w:p w:rsidR="00225197" w:rsidRPr="00895482" w:rsidRDefault="00225197" w:rsidP="00225197">
      <w:pPr>
        <w:numPr>
          <w:ilvl w:val="2"/>
          <w:numId w:val="1"/>
        </w:numPr>
        <w:suppressAutoHyphens/>
        <w:overflowPunct w:val="0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 xml:space="preserve">co najmniej 8 dysków typu  SAS </w:t>
      </w:r>
      <w:r w:rsidRPr="002139B5">
        <w:rPr>
          <w:rFonts w:asciiTheme="minorHAnsi" w:hAnsiTheme="minorHAnsi"/>
          <w:sz w:val="20"/>
          <w:szCs w:val="20"/>
        </w:rPr>
        <w:t>HDD lub SSD</w:t>
      </w:r>
      <w:r>
        <w:rPr>
          <w:rFonts w:asciiTheme="minorHAnsi" w:hAnsiTheme="minorHAnsi"/>
          <w:sz w:val="20"/>
          <w:szCs w:val="20"/>
        </w:rPr>
        <w:t xml:space="preserve"> Hot-plug </w:t>
      </w:r>
      <w:r w:rsidRPr="00895482">
        <w:rPr>
          <w:rFonts w:asciiTheme="minorHAnsi" w:hAnsiTheme="minorHAnsi"/>
          <w:sz w:val="20"/>
          <w:szCs w:val="20"/>
        </w:rPr>
        <w:t>o pojemności nie mniejszej niż 1.2 TB każdy.</w:t>
      </w:r>
    </w:p>
    <w:p w:rsidR="00225197" w:rsidRPr="00895482" w:rsidRDefault="00225197" w:rsidP="00225197">
      <w:pPr>
        <w:pStyle w:val="ListParagraph"/>
        <w:numPr>
          <w:ilvl w:val="1"/>
          <w:numId w:val="1"/>
        </w:numPr>
        <w:suppressAutoHyphens/>
        <w:overflowPunct w:val="0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>Interfejsy sieciowe:</w:t>
      </w:r>
    </w:p>
    <w:p w:rsidR="00225197" w:rsidRPr="00895482" w:rsidRDefault="00225197" w:rsidP="00225197">
      <w:pPr>
        <w:numPr>
          <w:ilvl w:val="2"/>
          <w:numId w:val="1"/>
        </w:numPr>
        <w:suppressAutoHyphens/>
        <w:overflowPunct w:val="0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>2x 1Gb/s (RJ-45),</w:t>
      </w:r>
    </w:p>
    <w:p w:rsidR="00225197" w:rsidRPr="00895482" w:rsidRDefault="00225197" w:rsidP="00225197">
      <w:pPr>
        <w:numPr>
          <w:ilvl w:val="1"/>
          <w:numId w:val="1"/>
        </w:numPr>
        <w:suppressAutoHyphens/>
        <w:overflowPunct w:val="0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>Zasilanie:</w:t>
      </w:r>
    </w:p>
    <w:p w:rsidR="00225197" w:rsidRPr="00895482" w:rsidRDefault="00225197" w:rsidP="00225197">
      <w:pPr>
        <w:numPr>
          <w:ilvl w:val="2"/>
          <w:numId w:val="1"/>
        </w:numPr>
        <w:suppressAutoHyphens/>
        <w:overflowPunct w:val="0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>Min. 2 redundantne zasilacze, 230V</w:t>
      </w:r>
    </w:p>
    <w:p w:rsidR="00225197" w:rsidRPr="00895482" w:rsidRDefault="00225197" w:rsidP="00225197">
      <w:pPr>
        <w:numPr>
          <w:ilvl w:val="2"/>
          <w:numId w:val="1"/>
        </w:numPr>
        <w:suppressAutoHyphens/>
        <w:overflowPunct w:val="0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>hot-swap</w:t>
      </w:r>
    </w:p>
    <w:p w:rsidR="00225197" w:rsidRPr="00895482" w:rsidRDefault="00225197" w:rsidP="00225197">
      <w:pPr>
        <w:numPr>
          <w:ilvl w:val="1"/>
          <w:numId w:val="1"/>
        </w:numPr>
        <w:suppressAutoHyphens/>
        <w:overflowPunct w:val="0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>Zdalne zarządzanie:</w:t>
      </w:r>
    </w:p>
    <w:p w:rsidR="00225197" w:rsidRPr="00895482" w:rsidRDefault="00225197" w:rsidP="00225197">
      <w:pPr>
        <w:numPr>
          <w:ilvl w:val="2"/>
          <w:numId w:val="1"/>
        </w:numPr>
        <w:suppressAutoHyphens/>
        <w:overflowPunct w:val="0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>Obsługa protokołu IPMI</w:t>
      </w:r>
    </w:p>
    <w:p w:rsidR="00225197" w:rsidRPr="00895482" w:rsidRDefault="00225197" w:rsidP="00225197">
      <w:pPr>
        <w:numPr>
          <w:ilvl w:val="2"/>
          <w:numId w:val="1"/>
        </w:numPr>
        <w:suppressAutoHyphens/>
        <w:overflowPunct w:val="0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>Dostęp przez osobny port RJ-45</w:t>
      </w:r>
    </w:p>
    <w:p w:rsidR="00225197" w:rsidRPr="00895482" w:rsidRDefault="00225197" w:rsidP="00225197">
      <w:pPr>
        <w:numPr>
          <w:ilvl w:val="2"/>
          <w:numId w:val="1"/>
        </w:numPr>
        <w:suppressAutoHyphens/>
        <w:overflowPunct w:val="0"/>
        <w:jc w:val="both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>Aplikacja dla platformy Android użytkowanej przez Zamawiającego do zarządzania serwerem</w:t>
      </w:r>
      <w:r>
        <w:rPr>
          <w:rFonts w:asciiTheme="minorHAnsi" w:hAnsiTheme="minorHAnsi"/>
          <w:sz w:val="20"/>
          <w:szCs w:val="20"/>
        </w:rPr>
        <w:t xml:space="preserve"> lub inne rozwiązanie</w:t>
      </w:r>
      <w:r w:rsidRPr="00920BF6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umożliwiajace</w:t>
      </w:r>
      <w:r w:rsidRPr="00920BF6">
        <w:rPr>
          <w:rFonts w:asciiTheme="minorHAnsi" w:hAnsiTheme="minorHAnsi"/>
          <w:sz w:val="20"/>
          <w:szCs w:val="20"/>
        </w:rPr>
        <w:t xml:space="preserve"> zarządzanie serwerem przy pomocy urządzeń przenośnych, pod warunkiem, że jeśli zaproponowane rozwiązanie będzie wymagało wykorzystania urządzeń innych niż posiadane przez Zamawiającego telefony komórkowe z systemem Android, Wykonawca dostarczy takie urządzenia w cenie swojej oferty. Zaoferowany system zarządzania musi posiadać funk</w:t>
      </w:r>
      <w:r>
        <w:rPr>
          <w:rFonts w:asciiTheme="minorHAnsi" w:hAnsiTheme="minorHAnsi"/>
          <w:sz w:val="20"/>
          <w:szCs w:val="20"/>
        </w:rPr>
        <w:t>c</w:t>
      </w:r>
      <w:r w:rsidRPr="00920BF6">
        <w:rPr>
          <w:rFonts w:asciiTheme="minorHAnsi" w:hAnsiTheme="minorHAnsi"/>
          <w:sz w:val="20"/>
          <w:szCs w:val="20"/>
        </w:rPr>
        <w:t xml:space="preserve">jonalność zdalnego włączenia i wyłączenia serwera oraz podgląd podstawowych parametrów pracy, tj.: </w:t>
      </w:r>
      <w:r w:rsidRPr="009168D5">
        <w:rPr>
          <w:rFonts w:asciiTheme="minorHAnsi" w:hAnsiTheme="minorHAnsi"/>
          <w:sz w:val="20"/>
          <w:szCs w:val="20"/>
        </w:rPr>
        <w:t>co najmniej: temperatura, obciążenie procesorów i pamięci</w:t>
      </w:r>
    </w:p>
    <w:p w:rsidR="00225197" w:rsidRPr="00895482" w:rsidRDefault="00225197" w:rsidP="00225197">
      <w:pPr>
        <w:numPr>
          <w:ilvl w:val="1"/>
          <w:numId w:val="1"/>
        </w:numPr>
        <w:suppressAutoHyphens/>
        <w:overflowPunct w:val="0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>Gwarancja:</w:t>
      </w:r>
    </w:p>
    <w:p w:rsidR="00225197" w:rsidRPr="00895482" w:rsidRDefault="00225197" w:rsidP="00225197">
      <w:pPr>
        <w:numPr>
          <w:ilvl w:val="2"/>
          <w:numId w:val="1"/>
        </w:numPr>
        <w:suppressAutoHyphens/>
        <w:overflowPunct w:val="0"/>
        <w:rPr>
          <w:rFonts w:asciiTheme="minorHAnsi" w:hAnsiTheme="minorHAnsi"/>
          <w:sz w:val="20"/>
          <w:szCs w:val="20"/>
        </w:rPr>
      </w:pPr>
      <w:r w:rsidRPr="00895482">
        <w:rPr>
          <w:rFonts w:asciiTheme="minorHAnsi" w:hAnsiTheme="minorHAnsi"/>
          <w:sz w:val="20"/>
          <w:szCs w:val="20"/>
        </w:rPr>
        <w:t>okres: min. 5 lat w trybie „następny dzień roboczy”</w:t>
      </w:r>
    </w:p>
    <w:p w:rsidR="00225197" w:rsidRPr="0094706F" w:rsidRDefault="00225197" w:rsidP="00225197">
      <w:pPr>
        <w:suppressAutoHyphens/>
        <w:overflowPunct w:val="0"/>
        <w:rPr>
          <w:rFonts w:asciiTheme="minorHAnsi" w:hAnsi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8"/>
        <w:gridCol w:w="6758"/>
      </w:tblGrid>
      <w:tr w:rsidR="00225197" w:rsidRPr="001B1196" w:rsidTr="00265C64">
        <w:tc>
          <w:tcPr>
            <w:tcW w:w="9060" w:type="dxa"/>
            <w:gridSpan w:val="2"/>
            <w:shd w:val="clear" w:color="auto" w:fill="A6A6A6" w:themeFill="background1" w:themeFillShade="A6"/>
          </w:tcPr>
          <w:p w:rsidR="00225197" w:rsidRDefault="00225197" w:rsidP="00265C64">
            <w:pPr>
              <w:pStyle w:val="Zwykytekst1"/>
              <w:spacing w:before="120" w:after="120"/>
              <w:jc w:val="center"/>
              <w:rPr>
                <w:rFonts w:ascii="Calibri" w:hAnsi="Calibri" w:cs="Calibri"/>
                <w:b/>
                <w:bCs/>
                <w:iCs/>
                <w:szCs w:val="24"/>
                <w:lang w:eastAsia="pl-PL"/>
              </w:rPr>
            </w:pPr>
            <w:r>
              <w:rPr>
                <w:rFonts w:ascii="Calibri" w:hAnsi="Calibri" w:cs="Calibri"/>
                <w:b/>
                <w:bCs/>
                <w:iCs/>
                <w:szCs w:val="24"/>
                <w:lang w:eastAsia="pl-PL"/>
              </w:rPr>
              <w:t>Serwer typu Safety</w:t>
            </w:r>
          </w:p>
          <w:p w:rsidR="00225197" w:rsidRDefault="00225197" w:rsidP="00265C64">
            <w:pPr>
              <w:pStyle w:val="Zwykytekst1"/>
              <w:spacing w:before="120" w:after="120"/>
              <w:jc w:val="center"/>
              <w:rPr>
                <w:rFonts w:ascii="Calibri" w:hAnsi="Calibri" w:cs="Calibri"/>
                <w:b/>
                <w:bCs/>
                <w:iCs/>
                <w:szCs w:val="24"/>
                <w:lang w:eastAsia="pl-PL"/>
              </w:rPr>
            </w:pPr>
            <w:r>
              <w:rPr>
                <w:rFonts w:ascii="Calibri" w:hAnsi="Calibri" w:cs="Calibri"/>
                <w:b/>
                <w:bCs/>
                <w:iCs/>
                <w:szCs w:val="24"/>
                <w:lang w:eastAsia="pl-PL"/>
              </w:rPr>
              <w:t>spełniajacy wszystkie powyższe wymagania</w:t>
            </w:r>
          </w:p>
          <w:p w:rsidR="00225197" w:rsidRPr="001B1196" w:rsidRDefault="00225197" w:rsidP="00265C64">
            <w:pPr>
              <w:pStyle w:val="Zwykytekst1"/>
              <w:spacing w:before="120" w:after="120"/>
              <w:jc w:val="center"/>
              <w:rPr>
                <w:rFonts w:ascii="Calibri" w:hAnsi="Calibri" w:cs="Calibri"/>
                <w:b/>
                <w:bCs/>
                <w:iCs/>
                <w:szCs w:val="24"/>
                <w:lang w:eastAsia="pl-PL"/>
              </w:rPr>
            </w:pPr>
            <w:r>
              <w:rPr>
                <w:rFonts w:ascii="Calibri" w:hAnsi="Calibri" w:cs="Calibri"/>
                <w:bCs/>
                <w:iCs/>
                <w:szCs w:val="24"/>
                <w:lang w:eastAsia="pl-PL"/>
              </w:rPr>
              <w:t xml:space="preserve"> - należy wypelnić, jeśli wykonawca składa ofertę na część 2</w:t>
            </w:r>
          </w:p>
        </w:tc>
      </w:tr>
      <w:tr w:rsidR="00225197" w:rsidTr="00265C64">
        <w:tc>
          <w:tcPr>
            <w:tcW w:w="2263" w:type="dxa"/>
          </w:tcPr>
          <w:p w:rsidR="00225197" w:rsidRDefault="00225197" w:rsidP="00265C64">
            <w:pPr>
              <w:pStyle w:val="Zwykytekst1"/>
              <w:spacing w:before="120" w:after="120"/>
              <w:jc w:val="both"/>
              <w:rPr>
                <w:rFonts w:ascii="Calibri" w:hAnsi="Calibri" w:cs="Calibri"/>
                <w:bCs/>
                <w:iCs/>
                <w:szCs w:val="24"/>
                <w:lang w:eastAsia="pl-PL"/>
              </w:rPr>
            </w:pPr>
            <w:r>
              <w:rPr>
                <w:rFonts w:ascii="Calibri" w:hAnsi="Calibri" w:cs="Calibri"/>
                <w:bCs/>
                <w:iCs/>
                <w:szCs w:val="24"/>
                <w:lang w:eastAsia="pl-PL"/>
              </w:rPr>
              <w:t>Nazwa lub oznaczenie identyfikujące produkt</w:t>
            </w:r>
          </w:p>
        </w:tc>
        <w:tc>
          <w:tcPr>
            <w:tcW w:w="6797" w:type="dxa"/>
          </w:tcPr>
          <w:p w:rsidR="00225197" w:rsidRDefault="00225197" w:rsidP="00265C64">
            <w:pPr>
              <w:pStyle w:val="Zwykytekst1"/>
              <w:spacing w:before="120" w:after="120"/>
              <w:jc w:val="both"/>
              <w:rPr>
                <w:rFonts w:ascii="Calibri" w:hAnsi="Calibri" w:cs="Calibri"/>
                <w:bCs/>
                <w:iCs/>
                <w:szCs w:val="24"/>
                <w:lang w:eastAsia="pl-PL"/>
              </w:rPr>
            </w:pPr>
          </w:p>
        </w:tc>
      </w:tr>
      <w:tr w:rsidR="00225197" w:rsidTr="00265C64">
        <w:tc>
          <w:tcPr>
            <w:tcW w:w="2263" w:type="dxa"/>
          </w:tcPr>
          <w:p w:rsidR="00225197" w:rsidRDefault="00225197" w:rsidP="00265C64">
            <w:pPr>
              <w:pStyle w:val="Zwykytekst1"/>
              <w:spacing w:before="120" w:after="120"/>
              <w:jc w:val="both"/>
              <w:rPr>
                <w:rFonts w:ascii="Calibri" w:hAnsi="Calibri" w:cs="Calibri"/>
                <w:bCs/>
                <w:iCs/>
                <w:szCs w:val="24"/>
                <w:lang w:eastAsia="pl-PL"/>
              </w:rPr>
            </w:pPr>
            <w:r>
              <w:rPr>
                <w:rFonts w:ascii="Calibri" w:hAnsi="Calibri" w:cs="Calibri"/>
                <w:bCs/>
                <w:iCs/>
                <w:szCs w:val="24"/>
                <w:lang w:eastAsia="pl-PL"/>
              </w:rPr>
              <w:t>Nazwa i oznaczenie procesora</w:t>
            </w:r>
          </w:p>
        </w:tc>
        <w:tc>
          <w:tcPr>
            <w:tcW w:w="6797" w:type="dxa"/>
          </w:tcPr>
          <w:p w:rsidR="00225197" w:rsidRDefault="00225197" w:rsidP="00265C64">
            <w:pPr>
              <w:pStyle w:val="Zwykytekst1"/>
              <w:spacing w:before="120" w:after="120"/>
              <w:jc w:val="both"/>
              <w:rPr>
                <w:rFonts w:ascii="Calibri" w:hAnsi="Calibri" w:cs="Calibri"/>
                <w:bCs/>
                <w:iCs/>
                <w:szCs w:val="24"/>
                <w:lang w:eastAsia="pl-PL"/>
              </w:rPr>
            </w:pPr>
          </w:p>
        </w:tc>
      </w:tr>
    </w:tbl>
    <w:p w:rsidR="00AB617A" w:rsidRDefault="00AB617A">
      <w:bookmarkStart w:id="0" w:name="_GoBack"/>
      <w:bookmarkEnd w:id="0"/>
    </w:p>
    <w:sectPr w:rsidR="00AB61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1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7F7270"/>
    <w:multiLevelType w:val="multilevel"/>
    <w:tmpl w:val="1046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197"/>
    <w:rsid w:val="0014450C"/>
    <w:rsid w:val="00225197"/>
    <w:rsid w:val="00AB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A9A351-4160-4F17-9FD1-F8AABB24F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Heading6">
    <w:name w:val="heading 6"/>
    <w:basedOn w:val="Normal"/>
    <w:next w:val="Normal"/>
    <w:link w:val="Heading6Char"/>
    <w:qFormat/>
    <w:rsid w:val="00225197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225197"/>
    <w:rPr>
      <w:rFonts w:ascii="Arial" w:eastAsia="Times New Roman" w:hAnsi="Arial" w:cs="Arial"/>
      <w:b/>
      <w:bCs/>
      <w:sz w:val="24"/>
      <w:szCs w:val="24"/>
      <w:lang w:val="pl-PL" w:eastAsia="pl-PL"/>
    </w:rPr>
  </w:style>
  <w:style w:type="character" w:styleId="Hyperlink">
    <w:name w:val="Hyperlink"/>
    <w:semiHidden/>
    <w:rsid w:val="00225197"/>
    <w:rPr>
      <w:color w:val="0000FF"/>
      <w:u w:val="single"/>
    </w:rPr>
  </w:style>
  <w:style w:type="paragraph" w:styleId="ListParagraph">
    <w:name w:val="List Paragraph"/>
    <w:aliases w:val="zwykły tekst,List Paragraph1,BulletC,normalny tekst,Obiekt,RR PGE Akapit z listą,Styl 1,lp1,Preambuła,CP-UC,CP-Punkty,Bullet List,List - bullets,Equipment,Bullet 1,List Paragraph Char Char,b1,Figure_name,Numbered Indented Text,Ref"/>
    <w:basedOn w:val="Normal"/>
    <w:link w:val="ListParagraphChar"/>
    <w:uiPriority w:val="34"/>
    <w:qFormat/>
    <w:rsid w:val="00225197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"/>
    <w:rsid w:val="0022519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leGrid">
    <w:name w:val="Table Grid"/>
    <w:basedOn w:val="TableNormal"/>
    <w:uiPriority w:val="59"/>
    <w:rsid w:val="002251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zwykły tekst Char,List Paragraph1 Char,BulletC Char,normalny tekst Char,Obiekt Char,RR PGE Akapit z listą Char,Styl 1 Char,lp1 Char,Preambuła Char,CP-UC Char,CP-Punkty Char,Bullet List Char,List - bullets Char,Equipment Char,b1 Char"/>
    <w:link w:val="ListParagraph"/>
    <w:uiPriority w:val="34"/>
    <w:qFormat/>
    <w:rsid w:val="00225197"/>
    <w:rPr>
      <w:rFonts w:ascii="Arial" w:eastAsia="Times New Roman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pubenchmark.net/" TargetMode="External"/><Relationship Id="rId5" Type="http://schemas.openxmlformats.org/officeDocument/2006/relationships/hyperlink" Target="https://www.cpubenchmark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657</Words>
  <Characters>3747</Characters>
  <Application>Microsoft Office Word</Application>
  <DocSecurity>0</DocSecurity>
  <Lines>31</Lines>
  <Paragraphs>8</Paragraphs>
  <ScaleCrop>false</ScaleCrop>
  <Company>Narodowe Centrum Badań Jądrowych</Company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Kozielewski Łukasz</dc:creator>
  <cp:keywords/>
  <dc:description/>
  <cp:lastModifiedBy>Kozielewski Łukasz</cp:lastModifiedBy>
  <cp:revision>1</cp:revision>
  <dcterms:created xsi:type="dcterms:W3CDTF">2024-10-29T15:35:00Z</dcterms:created>
  <dcterms:modified xsi:type="dcterms:W3CDTF">2024-10-29T15:36:00Z</dcterms:modified>
</cp:coreProperties>
</file>