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00E13A8C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A82B49">
        <w:rPr>
          <w:rFonts w:ascii="Times New Roman" w:hAnsi="Times New Roman"/>
          <w:b/>
          <w:bCs/>
        </w:rPr>
        <w:t>ROBÓT BUDOWLANYCH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BDCC28B" w14:textId="34044E18" w:rsidR="006F014E" w:rsidRDefault="00B33E26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B33E26">
        <w:t>„Wykonanie naprawy nawierzchni sięgaczy w ramach inwestycji „Kurort Nadmorski Świnoujście- nowa wizja przestrzeni publicznej ”</w:t>
      </w:r>
      <w:bookmarkStart w:id="0" w:name="_GoBack"/>
      <w:bookmarkEnd w:id="0"/>
    </w:p>
    <w:p w14:paraId="6552391F" w14:textId="2434C3FD" w:rsidR="00B33E26" w:rsidRDefault="00B33E26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59904E24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A82B49">
        <w:t>roboty budowlane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A82B49">
              <w:rPr>
                <w:b/>
                <w:bCs/>
              </w:rPr>
              <w:t>robót budowlanych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2631D235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3CE9-5E25-46CA-B94A-F6626B6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31</cp:revision>
  <dcterms:created xsi:type="dcterms:W3CDTF">2017-04-04T12:03:00Z</dcterms:created>
  <dcterms:modified xsi:type="dcterms:W3CDTF">2022-01-25T14:10:00Z</dcterms:modified>
</cp:coreProperties>
</file>