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</w:t>
      </w:r>
      <w:bookmarkStart w:id="0" w:name="_GoBack"/>
      <w:bookmarkEnd w:id="0"/>
      <w:r w:rsidR="00B56FDD" w:rsidRPr="007F0870">
        <w:rPr>
          <w:rFonts w:ascii="Arial" w:hAnsi="Arial" w:cs="Arial"/>
          <w:sz w:val="20"/>
          <w:szCs w:val="20"/>
        </w:rPr>
        <w:t>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A4DF3" w:rsidRPr="001A4DF3" w:rsidRDefault="00365B33" w:rsidP="001A4DF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1A4DF3">
        <w:rPr>
          <w:rFonts w:ascii="Arial" w:hAnsi="Arial" w:cs="Arial"/>
          <w:sz w:val="20"/>
          <w:szCs w:val="20"/>
        </w:rPr>
        <w:t>Pani/Pana pracodawcy, tj. od</w:t>
      </w:r>
    </w:p>
    <w:p w:rsidR="001A4DF3" w:rsidRDefault="00365B33" w:rsidP="001A4DF3">
      <w:pPr>
        <w:pStyle w:val="Akapitzlist"/>
        <w:spacing w:before="120"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1A4DF3" w:rsidRDefault="00246E26" w:rsidP="001A4DF3">
      <w:pPr>
        <w:pStyle w:val="Akapitzlist"/>
        <w:spacing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65B33" w:rsidRPr="00537C26" w:rsidRDefault="00365B33" w:rsidP="001A4DF3">
      <w:pPr>
        <w:pStyle w:val="Akapitzlist"/>
        <w:spacing w:after="60" w:line="276" w:lineRule="auto"/>
        <w:ind w:left="992"/>
        <w:contextualSpacing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</w:t>
      </w:r>
      <w:r w:rsidR="001A4D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233AD7" w:rsidP="00246E26">
      <w:pPr>
        <w:pStyle w:val="Akapitzlist"/>
        <w:numPr>
          <w:ilvl w:val="0"/>
          <w:numId w:val="35"/>
        </w:numPr>
        <w:spacing w:before="60" w:after="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1A4DF3">
        <w:rPr>
          <w:rFonts w:ascii="Arial" w:hAnsi="Arial" w:cs="Arial"/>
          <w:sz w:val="20"/>
          <w:szCs w:val="20"/>
        </w:rPr>
        <w:t>………… z dnia 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 wykonanie robót budowlanych w zakresie „</w:t>
      </w:r>
      <w:r w:rsidR="00CF42B0">
        <w:rPr>
          <w:rFonts w:ascii="Arial" w:hAnsi="Arial" w:cs="Arial"/>
          <w:sz w:val="20"/>
          <w:szCs w:val="20"/>
        </w:rPr>
        <w:t>Remont pomieszczeń na II piętrze w budynku nr 1 przy Al. Jerozolimskich 97 w Warszawie na terenie K-3586</w:t>
      </w:r>
      <w:r w:rsidR="00246E26" w:rsidRPr="00246E26">
        <w:rPr>
          <w:rFonts w:ascii="Arial" w:hAnsi="Arial" w:cs="Arial"/>
          <w:sz w:val="20"/>
          <w:szCs w:val="20"/>
        </w:rPr>
        <w:t xml:space="preserve">”,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 z dnia ………………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78" w:rsidRDefault="009C6078" w:rsidP="00DA782C">
      <w:pPr>
        <w:spacing w:after="0" w:line="240" w:lineRule="auto"/>
      </w:pPr>
      <w:r>
        <w:separator/>
      </w:r>
    </w:p>
  </w:endnote>
  <w:endnote w:type="continuationSeparator" w:id="0">
    <w:p w:rsidR="009C6078" w:rsidRDefault="009C6078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78" w:rsidRDefault="009C6078" w:rsidP="00DA782C">
      <w:pPr>
        <w:spacing w:after="0" w:line="240" w:lineRule="auto"/>
      </w:pPr>
      <w:r>
        <w:separator/>
      </w:r>
    </w:p>
  </w:footnote>
  <w:footnote w:type="continuationSeparator" w:id="0">
    <w:p w:rsidR="009C6078" w:rsidRDefault="009C6078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F5114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11</w:t>
          </w:r>
          <w:r w:rsidR="0082339B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56D4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4DF3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2D06"/>
    <w:rsid w:val="00246E26"/>
    <w:rsid w:val="002776AE"/>
    <w:rsid w:val="002F0158"/>
    <w:rsid w:val="0031524D"/>
    <w:rsid w:val="003277C3"/>
    <w:rsid w:val="00365B33"/>
    <w:rsid w:val="003830E6"/>
    <w:rsid w:val="00385A3F"/>
    <w:rsid w:val="003B5479"/>
    <w:rsid w:val="003D7477"/>
    <w:rsid w:val="003E13A5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2339B"/>
    <w:rsid w:val="008408FD"/>
    <w:rsid w:val="00843D84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607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CF42B0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51140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9FC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6</cp:revision>
  <dcterms:created xsi:type="dcterms:W3CDTF">2019-07-15T09:21:00Z</dcterms:created>
  <dcterms:modified xsi:type="dcterms:W3CDTF">2020-02-18T12:04:00Z</dcterms:modified>
</cp:coreProperties>
</file>