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0A6CD1">
        <w:rPr>
          <w:rFonts w:ascii="Arial" w:hAnsi="Arial" w:cs="Arial"/>
          <w:b/>
          <w:sz w:val="20"/>
        </w:rPr>
        <w:t>18</w:t>
      </w:r>
      <w:r w:rsidRPr="00020372">
        <w:rPr>
          <w:rFonts w:ascii="Arial" w:hAnsi="Arial" w:cs="Arial"/>
          <w:b/>
          <w:sz w:val="20"/>
        </w:rPr>
        <w:t>.20</w:t>
      </w:r>
      <w:r w:rsidR="00891DAA" w:rsidRPr="00020372">
        <w:rPr>
          <w:rFonts w:ascii="Arial" w:hAnsi="Arial" w:cs="Arial"/>
          <w:b/>
          <w:sz w:val="20"/>
        </w:rPr>
        <w:t>2</w:t>
      </w:r>
      <w:r w:rsidR="000A6CD1">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784395" w:rsidP="00500207">
      <w:pPr>
        <w:jc w:val="center"/>
        <w:rPr>
          <w:rFonts w:ascii="Arial" w:hAnsi="Arial" w:cs="Arial"/>
          <w:b/>
          <w:szCs w:val="20"/>
        </w:rPr>
      </w:pPr>
      <w:r>
        <w:rPr>
          <w:rFonts w:ascii="Arial" w:hAnsi="Arial" w:cs="Arial"/>
          <w:b/>
        </w:rPr>
        <w:t>Szkoły Podstawowej w Rdzawce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F61796">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5228F1">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5228F1">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10</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5228F1">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19</w:t>
        </w:r>
        <w:r w:rsidRPr="005B4CF2">
          <w:rPr>
            <w:rFonts w:ascii="Arial" w:hAnsi="Arial" w:cs="Arial"/>
            <w:noProof/>
            <w:webHidden/>
            <w:sz w:val="20"/>
          </w:rPr>
          <w:fldChar w:fldCharType="end"/>
        </w:r>
      </w:hyperlink>
    </w:p>
    <w:p w:rsidR="005B4CF2" w:rsidRDefault="005228F1">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333B9A">
          <w:rPr>
            <w:rFonts w:ascii="Arial" w:hAnsi="Arial" w:cs="Arial"/>
            <w:noProof/>
            <w:webHidden/>
            <w:sz w:val="20"/>
          </w:rPr>
          <w:t>20</w:t>
        </w:r>
        <w:r w:rsidRPr="005B4CF2">
          <w:rPr>
            <w:rFonts w:ascii="Arial" w:hAnsi="Arial" w:cs="Arial"/>
            <w:noProof/>
            <w:webHidden/>
            <w:sz w:val="20"/>
          </w:rPr>
          <w:fldChar w:fldCharType="end"/>
        </w:r>
      </w:hyperlink>
    </w:p>
    <w:p w:rsidR="00EA428B" w:rsidRPr="00311F52" w:rsidRDefault="005228F1">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5228F1"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A307EE">
        <w:rPr>
          <w:rFonts w:ascii="Arial" w:hAnsi="Arial" w:cs="Arial"/>
          <w:b/>
          <w:sz w:val="20"/>
          <w:szCs w:val="20"/>
        </w:rPr>
        <w:t>18</w:t>
      </w:r>
      <w:r w:rsidR="00500207" w:rsidRPr="00020372">
        <w:rPr>
          <w:rFonts w:ascii="Arial" w:hAnsi="Arial" w:cs="Arial"/>
          <w:b/>
          <w:sz w:val="20"/>
          <w:szCs w:val="20"/>
        </w:rPr>
        <w:t>.202</w:t>
      </w:r>
      <w:r w:rsidR="00A307EE">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w:t>
      </w:r>
      <w:r w:rsidR="005F742F">
        <w:rPr>
          <w:rFonts w:ascii="Arial" w:hAnsi="Arial" w:cs="Arial"/>
          <w:b/>
          <w:sz w:val="20"/>
          <w:szCs w:val="20"/>
        </w:rPr>
        <w:t>Szkoły Podstawowej w Rdzawce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3F31E3">
        <w:rPr>
          <w:b/>
          <w:sz w:val="20"/>
        </w:rPr>
        <w:t>Szkoły Podstawowej w Rdzawce</w:t>
      </w:r>
      <w:r w:rsidR="00DE26A0" w:rsidRPr="00020372">
        <w:rPr>
          <w:sz w:val="20"/>
        </w:rPr>
        <w:t>.</w:t>
      </w:r>
      <w:r w:rsidR="00EF62E2" w:rsidRPr="00020372">
        <w:rPr>
          <w:color w:val="FF0000"/>
          <w:sz w:val="20"/>
        </w:rPr>
        <w:t xml:space="preserve"> </w:t>
      </w:r>
    </w:p>
    <w:p w:rsidR="009D13EB" w:rsidRPr="004A6872" w:rsidRDefault="001D211F" w:rsidP="00CC466B">
      <w:pPr>
        <w:pStyle w:val="Nagwek3"/>
        <w:spacing w:before="120" w:after="120"/>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CC466B" w:rsidRDefault="00CC466B" w:rsidP="00CC466B">
      <w:pPr>
        <w:pStyle w:val="Nagwek3"/>
        <w:spacing w:before="120" w:after="120"/>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xml:space="preserve">, przy określeniu rzeczywistego zakresu robót składających się na przedmiot zamówienia. </w:t>
      </w:r>
    </w:p>
    <w:p w:rsidR="00CC466B" w:rsidRPr="007F13A2" w:rsidRDefault="00CC466B" w:rsidP="00CC466B">
      <w:pPr>
        <w:pStyle w:val="Nagwek3"/>
        <w:spacing w:before="120" w:after="120"/>
      </w:pPr>
      <w:r>
        <w:t xml:space="preserve">Brak ujęcia w Przedmiarach Robót, robót ujętych projektach budowlanych i w projektach wykonawczych lub różnice w ilościach robót do wykonania ujętych w Przedmiarze Robót </w:t>
      </w:r>
      <w:r w:rsidR="005333D8">
        <w:br/>
      </w:r>
      <w:r>
        <w:t>w stosunku do projektu budowlanego i projektów wykonawczych oraz różniące się technologie realizacji prac założone w Przedmiarze Robót w stosunku do projektu budowlanego i projektów wykonawczych nie stanowią podstawy do zmiany ceny ryczałtowej.</w:t>
      </w:r>
    </w:p>
    <w:p w:rsidR="004A6872" w:rsidRPr="00575AC8" w:rsidRDefault="004A6872" w:rsidP="00CC466B">
      <w:pPr>
        <w:spacing w:before="120" w:after="120"/>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od poniedziałku do piątku prowadzić </w:t>
      </w:r>
      <w:r w:rsidR="006E45C4">
        <w:rPr>
          <w:rFonts w:ascii="Arial" w:hAnsi="Arial" w:cs="Arial"/>
          <w:b/>
          <w:sz w:val="20"/>
          <w:szCs w:val="20"/>
        </w:rPr>
        <w:t xml:space="preserve">w uzgodnieniu </w:t>
      </w:r>
      <w:r w:rsidR="006E45C4">
        <w:rPr>
          <w:rFonts w:ascii="Arial" w:hAnsi="Arial" w:cs="Arial"/>
          <w:b/>
          <w:sz w:val="20"/>
          <w:szCs w:val="20"/>
        </w:rPr>
        <w:br/>
        <w:t xml:space="preserve">z </w:t>
      </w:r>
      <w:r w:rsidR="00E343A0">
        <w:rPr>
          <w:rFonts w:ascii="Arial" w:hAnsi="Arial" w:cs="Arial"/>
          <w:b/>
          <w:sz w:val="20"/>
          <w:szCs w:val="20"/>
        </w:rPr>
        <w:t>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w:t>
      </w:r>
      <w:r w:rsidR="00E343A0">
        <w:rPr>
          <w:rFonts w:ascii="Arial" w:hAnsi="Arial" w:cs="Arial"/>
          <w:b/>
          <w:sz w:val="20"/>
          <w:szCs w:val="20"/>
        </w:rPr>
        <w:t xml:space="preserve">uczniów i innych </w:t>
      </w:r>
      <w:r w:rsidRPr="00575AC8">
        <w:rPr>
          <w:rFonts w:ascii="Arial" w:hAnsi="Arial" w:cs="Arial"/>
          <w:b/>
          <w:sz w:val="20"/>
          <w:szCs w:val="20"/>
        </w:rPr>
        <w:t xml:space="preserve">pracowników pracujących w budynku na niebezpieczeństwa </w:t>
      </w:r>
      <w:r w:rsidR="00E343A0">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zapewnić swobodne i bezpieczne dojścia dla </w:t>
      </w:r>
      <w:r w:rsidR="00E343A0">
        <w:rPr>
          <w:rFonts w:ascii="Arial" w:hAnsi="Arial" w:cs="Arial"/>
          <w:b/>
          <w:sz w:val="20"/>
          <w:szCs w:val="20"/>
        </w:rPr>
        <w:t xml:space="preserve">uczniów, pracowników oraz innych </w:t>
      </w:r>
      <w:r w:rsidRPr="00575AC8">
        <w:rPr>
          <w:rFonts w:ascii="Arial" w:hAnsi="Arial" w:cs="Arial"/>
          <w:b/>
          <w:sz w:val="20"/>
          <w:szCs w:val="20"/>
        </w:rPr>
        <w:t>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lastRenderedPageBreak/>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0B185E">
        <w:rPr>
          <w:sz w:val="20"/>
        </w:rPr>
        <w:t>2</w:t>
      </w:r>
      <w:r w:rsidR="00266BA4" w:rsidRPr="00020372">
        <w:rPr>
          <w:sz w:val="20"/>
        </w:rPr>
        <w:t xml:space="preserve"> </w:t>
      </w:r>
      <w:r w:rsidR="00B40FFE" w:rsidRPr="00020372">
        <w:rPr>
          <w:sz w:val="20"/>
        </w:rPr>
        <w:t xml:space="preserve">r. poz. </w:t>
      </w:r>
      <w:r w:rsidR="00B1697D" w:rsidRPr="00020372">
        <w:rPr>
          <w:sz w:val="20"/>
        </w:rPr>
        <w:t>1</w:t>
      </w:r>
      <w:r w:rsidR="000B185E">
        <w:rPr>
          <w:sz w:val="20"/>
        </w:rPr>
        <w:t>36</w:t>
      </w:r>
      <w:r w:rsidR="00B1697D" w:rsidRPr="00020372">
        <w:rPr>
          <w:sz w:val="20"/>
        </w:rPr>
        <w:t>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w:t>
      </w:r>
      <w:r w:rsidR="00B40FFE" w:rsidRPr="00020372">
        <w:rPr>
          <w:sz w:val="20"/>
        </w:rPr>
        <w:lastRenderedPageBreak/>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lastRenderedPageBreak/>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1D7564" w:rsidRPr="001D7564">
        <w:rPr>
          <w:i/>
          <w:sz w:val="20"/>
        </w:rPr>
        <w:t xml:space="preserve">tj. roboty rozbiórkowe </w:t>
      </w:r>
      <w:r w:rsidR="001D7564">
        <w:rPr>
          <w:i/>
          <w:sz w:val="20"/>
        </w:rPr>
        <w:br/>
      </w:r>
      <w:r w:rsidR="001D7564" w:rsidRPr="001D7564">
        <w:rPr>
          <w:i/>
          <w:sz w:val="20"/>
        </w:rPr>
        <w:t xml:space="preserve">i odtworzeniowe, </w:t>
      </w:r>
      <w:r w:rsidR="00B14838">
        <w:rPr>
          <w:i/>
          <w:sz w:val="20"/>
        </w:rPr>
        <w:t xml:space="preserve">termomodernizacja ścian zewnętrznych, wykończenia ścian, termomodernizacja stropu, wymiana okien, drzwi i parapetów wraz z robotami towarzyszącymi, wymiana opraw oświetleniowych wraz z robotami towarzyszącymi, instalacja fotowoltaiczna, prace budowlane w kotłowni, prace budowlane przy wykonaniu kanału nawiewnego, prace budowlane przy wykonaniu instalacji gazowej, </w:t>
      </w:r>
      <w:r w:rsidR="001D7564" w:rsidRPr="001D7564">
        <w:rPr>
          <w:i/>
          <w:sz w:val="20"/>
        </w:rPr>
        <w:t>itp.)</w:t>
      </w:r>
      <w:r w:rsidR="00623939" w:rsidRPr="00623939">
        <w:rPr>
          <w:i/>
          <w:sz w:val="20"/>
        </w:rPr>
        <w:t>.</w:t>
      </w:r>
      <w:r w:rsidR="004D34E5" w:rsidRPr="00020372">
        <w:rPr>
          <w:i/>
          <w:sz w:val="20"/>
        </w:rPr>
        <w:t xml:space="preserve"> </w:t>
      </w:r>
    </w:p>
    <w:p w:rsidR="00E07F1B" w:rsidRPr="00020372" w:rsidRDefault="00E07F1B" w:rsidP="00886955">
      <w:pPr>
        <w:pStyle w:val="Nagwek2"/>
        <w:rPr>
          <w:color w:val="FF0000"/>
          <w:sz w:val="20"/>
        </w:rPr>
      </w:pPr>
      <w:r w:rsidRPr="00E17E8B">
        <w:rPr>
          <w:sz w:val="20"/>
        </w:rPr>
        <w:t xml:space="preserve">Szczegółowy sposób weryfikacji zatrudnienia osób, o których mowa w art. 95 ust. 1 ustawy PZP, uprawnienia Zamawiającego w zakresie kontroli spełniania przez Wykonawcę wymagań, związanych </w:t>
      </w:r>
      <w:r w:rsidR="00A46F18" w:rsidRPr="00E17E8B">
        <w:rPr>
          <w:sz w:val="20"/>
        </w:rPr>
        <w:br/>
      </w:r>
      <w:r w:rsidRPr="00E17E8B">
        <w:rPr>
          <w:sz w:val="20"/>
        </w:rPr>
        <w:t xml:space="preserve">z zatrudnieniem osób, o których mowa  w art. 95 ust. 1 ustawy PZP, oraz sankcji z tytułu niespełnienia tych wymagań zawarte są we wzorze umowy – </w:t>
      </w:r>
      <w:r w:rsidRPr="00E17E8B">
        <w:rPr>
          <w:b/>
          <w:sz w:val="20"/>
        </w:rPr>
        <w:t xml:space="preserve">stanowiącym </w:t>
      </w:r>
      <w:r w:rsidR="0071351B" w:rsidRPr="00E17E8B">
        <w:rPr>
          <w:b/>
          <w:sz w:val="20"/>
        </w:rPr>
        <w:t>załącznik nr 7</w:t>
      </w:r>
      <w:r w:rsidRPr="00E17E8B">
        <w:rPr>
          <w:b/>
          <w:sz w:val="20"/>
        </w:rPr>
        <w:t xml:space="preserve"> do SWZ</w:t>
      </w:r>
      <w:r w:rsidRPr="00E17E8B">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w:t>
      </w:r>
      <w:r w:rsidRPr="00020372">
        <w:rPr>
          <w:rFonts w:ascii="Arial" w:hAnsi="Arial" w:cs="Arial"/>
          <w:sz w:val="20"/>
          <w:szCs w:val="20"/>
        </w:rPr>
        <w:lastRenderedPageBreak/>
        <w:t>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0F2E3E" w:rsidRPr="0068654F" w:rsidRDefault="000F2E3E" w:rsidP="000F2E3E">
      <w:pPr>
        <w:pStyle w:val="Tekstpodstawowy"/>
        <w:jc w:val="both"/>
        <w:rPr>
          <w:rFonts w:ascii="Arial" w:hAnsi="Arial" w:cs="Arial"/>
        </w:rPr>
      </w:pPr>
      <w:r>
        <w:rPr>
          <w:rFonts w:ascii="Arial" w:hAnsi="Arial" w:cs="Arial"/>
          <w:sz w:val="20"/>
          <w:szCs w:val="20"/>
        </w:rPr>
        <w:t xml:space="preserve">7.19.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AC4553" w:rsidRPr="00AC4553">
        <w:rPr>
          <w:b/>
          <w:color w:val="FF0000"/>
          <w:sz w:val="20"/>
        </w:rPr>
        <w:t>do</w:t>
      </w:r>
      <w:r w:rsidR="00AC4553">
        <w:rPr>
          <w:sz w:val="20"/>
        </w:rPr>
        <w:t xml:space="preserve"> </w:t>
      </w:r>
      <w:r w:rsidR="00AC4553">
        <w:rPr>
          <w:b/>
          <w:color w:val="FF0000"/>
          <w:sz w:val="20"/>
        </w:rPr>
        <w:t>6</w:t>
      </w:r>
      <w:r w:rsidR="00911F8C">
        <w:rPr>
          <w:b/>
          <w:color w:val="FF0000"/>
          <w:sz w:val="20"/>
        </w:rPr>
        <w:t xml:space="preserve"> miesi</w:t>
      </w:r>
      <w:r w:rsidR="009B2F02">
        <w:rPr>
          <w:b/>
          <w:color w:val="FF0000"/>
          <w:sz w:val="20"/>
        </w:rPr>
        <w:t>ę</w:t>
      </w:r>
      <w:r w:rsidR="00911F8C">
        <w:rPr>
          <w:b/>
          <w:color w:val="FF0000"/>
          <w:sz w:val="20"/>
        </w:rPr>
        <w:t>c</w:t>
      </w:r>
      <w:r w:rsidR="009B2F02">
        <w:rPr>
          <w:b/>
          <w:color w:val="FF0000"/>
          <w:sz w:val="20"/>
        </w:rPr>
        <w:t>y</w:t>
      </w:r>
      <w:r w:rsidR="009F2833" w:rsidRPr="00020372">
        <w:rPr>
          <w:b/>
          <w:color w:val="FF0000"/>
          <w:sz w:val="20"/>
        </w:rPr>
        <w:t xml:space="preserve"> od daty podpisania umowy</w:t>
      </w:r>
      <w:r w:rsidR="007559CA">
        <w:rPr>
          <w:b/>
          <w:color w:val="FF0000"/>
          <w:sz w:val="20"/>
        </w:rPr>
        <w:t xml:space="preserve">, jednak nie dłużej niż do </w:t>
      </w:r>
      <w:r w:rsidR="0036390A">
        <w:rPr>
          <w:b/>
          <w:color w:val="FF0000"/>
          <w:sz w:val="20"/>
        </w:rPr>
        <w:t>31</w:t>
      </w:r>
      <w:r w:rsidR="00A53A80">
        <w:rPr>
          <w:b/>
          <w:color w:val="FF0000"/>
          <w:sz w:val="20"/>
        </w:rPr>
        <w:t xml:space="preserve"> </w:t>
      </w:r>
      <w:r w:rsidR="0036390A">
        <w:rPr>
          <w:b/>
          <w:color w:val="FF0000"/>
          <w:sz w:val="20"/>
        </w:rPr>
        <w:t>sierpnia</w:t>
      </w:r>
      <w:r w:rsidR="00A53A80">
        <w:rPr>
          <w:b/>
          <w:color w:val="FF0000"/>
          <w:sz w:val="20"/>
        </w:rPr>
        <w:t xml:space="preserve"> 2023 r</w:t>
      </w:r>
      <w:r w:rsidR="00911F8C">
        <w:rPr>
          <w:b/>
          <w:color w:val="FF0000"/>
          <w:sz w:val="20"/>
        </w:rPr>
        <w:t>.</w:t>
      </w:r>
    </w:p>
    <w:p w:rsidR="006D0566" w:rsidRPr="005C0015" w:rsidRDefault="006D0566" w:rsidP="00886955">
      <w:pPr>
        <w:pStyle w:val="Nagwek2"/>
        <w:rPr>
          <w:i/>
          <w:sz w:val="20"/>
        </w:rPr>
      </w:pPr>
      <w:r w:rsidRPr="005C0015">
        <w:rPr>
          <w:i/>
          <w:sz w:val="20"/>
        </w:rPr>
        <w:t>Zamawiający określa termin realizacji przedmiotu zamówienia wraz z jego odbiorem poprzez podanie konkretnej daty w związku z koniecznością zakończenia robót budowlanych we wskazanym terminie, wynikającym z potrzeby zachowania ciągłości działania placówki (zadanie realizowane na czynnym p</w:t>
      </w:r>
      <w:r w:rsidR="005C0015">
        <w:rPr>
          <w:i/>
          <w:sz w:val="20"/>
        </w:rPr>
        <w:t xml:space="preserve">rzedszkolu). </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3353BD" w:rsidRPr="00697B9C" w:rsidRDefault="003353BD" w:rsidP="003353BD">
      <w:pPr>
        <w:spacing w:before="120" w:after="120"/>
        <w:jc w:val="both"/>
        <w:rPr>
          <w:rFonts w:ascii="Arial" w:hAnsi="Arial" w:cs="Arial"/>
          <w:iCs/>
          <w:sz w:val="20"/>
          <w:szCs w:val="20"/>
        </w:rPr>
      </w:pPr>
      <w:r w:rsidRPr="00697B9C">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97B9C">
        <w:rPr>
          <w:rFonts w:ascii="Arial" w:hAnsi="Arial" w:cs="Arial"/>
          <w:b/>
          <w:iCs/>
          <w:sz w:val="20"/>
          <w:szCs w:val="20"/>
        </w:rPr>
        <w:t xml:space="preserve">z budową, przebudową, rozbudową lub remontem budynku o wartości brutto nie mniejszej niż </w:t>
      </w:r>
      <w:r w:rsidR="006D55B8">
        <w:rPr>
          <w:rFonts w:ascii="Arial" w:hAnsi="Arial" w:cs="Arial"/>
          <w:b/>
          <w:iCs/>
          <w:sz w:val="20"/>
          <w:szCs w:val="20"/>
        </w:rPr>
        <w:t>5</w:t>
      </w:r>
      <w:r w:rsidRPr="00697B9C">
        <w:rPr>
          <w:rFonts w:ascii="Arial" w:hAnsi="Arial" w:cs="Arial"/>
          <w:b/>
          <w:iCs/>
          <w:sz w:val="20"/>
          <w:szCs w:val="20"/>
        </w:rPr>
        <w:t>00 000,00 zł (</w:t>
      </w:r>
      <w:r w:rsidR="006D55B8">
        <w:rPr>
          <w:rFonts w:ascii="Arial" w:hAnsi="Arial" w:cs="Arial"/>
          <w:b/>
          <w:iCs/>
          <w:sz w:val="20"/>
          <w:szCs w:val="20"/>
        </w:rPr>
        <w:t>pięćset tysięcy</w:t>
      </w:r>
      <w:r w:rsidRPr="00697B9C">
        <w:rPr>
          <w:rFonts w:ascii="Arial" w:hAnsi="Arial" w:cs="Arial"/>
          <w:b/>
          <w:iCs/>
          <w:sz w:val="20"/>
          <w:szCs w:val="20"/>
        </w:rPr>
        <w:t xml:space="preserve"> złotych 00/100)</w:t>
      </w:r>
      <w:r>
        <w:rPr>
          <w:rFonts w:ascii="Arial" w:hAnsi="Arial" w:cs="Arial"/>
          <w:b/>
          <w:iCs/>
          <w:sz w:val="20"/>
          <w:szCs w:val="20"/>
        </w:rPr>
        <w:t xml:space="preserve"> wraz z instalacją elektryczną </w:t>
      </w:r>
      <w:r>
        <w:rPr>
          <w:rFonts w:ascii="Arial" w:hAnsi="Arial" w:cs="Arial"/>
          <w:b/>
          <w:iCs/>
          <w:sz w:val="20"/>
          <w:szCs w:val="20"/>
        </w:rPr>
        <w:br/>
        <w:t xml:space="preserve">w budynku </w:t>
      </w:r>
      <w:r w:rsidRPr="00697B9C">
        <w:rPr>
          <w:rFonts w:ascii="Arial" w:hAnsi="Arial" w:cs="Arial"/>
          <w:b/>
          <w:iCs/>
          <w:sz w:val="20"/>
          <w:szCs w:val="20"/>
        </w:rPr>
        <w:t xml:space="preserve">oraz potwierdzi dowodami że roboty budowlane zostały wykonane należycie, </w:t>
      </w:r>
      <w:r>
        <w:rPr>
          <w:rFonts w:ascii="Arial" w:hAnsi="Arial" w:cs="Arial"/>
          <w:b/>
          <w:iCs/>
          <w:sz w:val="20"/>
          <w:szCs w:val="20"/>
        </w:rPr>
        <w:br/>
      </w:r>
      <w:r w:rsidRPr="00697B9C">
        <w:rPr>
          <w:rFonts w:ascii="Arial" w:hAnsi="Arial" w:cs="Arial"/>
          <w:b/>
          <w:iCs/>
          <w:sz w:val="20"/>
          <w:szCs w:val="20"/>
        </w:rPr>
        <w:t>w szczególności poda informację że roboty zostały wykonane zgodnie z przepisami prawa budowlanego i prawidłowo ukończone*</w:t>
      </w:r>
      <w:r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A87184">
        <w:rPr>
          <w:rFonts w:ascii="Arial" w:hAnsi="Arial" w:cs="Arial"/>
          <w:i/>
          <w:sz w:val="20"/>
          <w:szCs w:val="20"/>
        </w:rPr>
        <w:t>kierowania i nadzoru</w:t>
      </w:r>
      <w:r w:rsidRPr="00BF003C">
        <w:rPr>
          <w:rFonts w:ascii="Arial" w:hAnsi="Arial" w:cs="Arial"/>
          <w:i/>
          <w:sz w:val="20"/>
          <w:szCs w:val="20"/>
        </w:rPr>
        <w:t xml:space="preserve">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 xml:space="preserve">Zamawiający może na każdym etapie postępowania, uznać, że wykonawca nie posiada wymaganych zdolności, jeżeli posiadanie przez wykonawcę sprzecznych interesów, w szczególności </w:t>
      </w:r>
      <w:r w:rsidR="00F947D2" w:rsidRPr="00020372">
        <w:rPr>
          <w:rFonts w:ascii="Arial" w:hAnsi="Arial" w:cs="Arial"/>
          <w:sz w:val="20"/>
          <w:szCs w:val="20"/>
        </w:rPr>
        <w:lastRenderedPageBreak/>
        <w:t>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 xml:space="preserve">z dnia 15 czerwca 2012 r. o skutkach powierzania wykonywania pracy cudzoziemcom przebywającym wbrew przepisom na terytorium Rzeczypospolitej Polskiej (Dz. U. </w:t>
      </w:r>
      <w:r w:rsidR="00EA3552">
        <w:rPr>
          <w:sz w:val="20"/>
        </w:rPr>
        <w:t xml:space="preserve">z 2021 r., </w:t>
      </w:r>
      <w:r w:rsidR="007F683D" w:rsidRPr="00020372">
        <w:rPr>
          <w:sz w:val="20"/>
        </w:rPr>
        <w:t xml:space="preserve">poz. </w:t>
      </w:r>
      <w:r w:rsidR="00EA3552">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komplementariusza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lastRenderedPageBreak/>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1F067F">
        <w:rPr>
          <w:b/>
          <w:sz w:val="20"/>
        </w:rPr>
        <w:t xml:space="preserve"> z </w:t>
      </w:r>
      <w:proofErr w:type="spellStart"/>
      <w:r w:rsidR="001F067F">
        <w:rPr>
          <w:b/>
          <w:sz w:val="20"/>
        </w:rPr>
        <w:t>późn</w:t>
      </w:r>
      <w:proofErr w:type="spellEnd"/>
      <w:r w:rsidR="001F067F">
        <w:rPr>
          <w:b/>
          <w:sz w:val="20"/>
        </w:rPr>
        <w:t>. zmian.</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DF274B">
        <w:rPr>
          <w:b/>
          <w:sz w:val="20"/>
        </w:rPr>
        <w:t xml:space="preserve"> z </w:t>
      </w:r>
      <w:proofErr w:type="spellStart"/>
      <w:r w:rsidR="00DF274B">
        <w:rPr>
          <w:b/>
          <w:sz w:val="20"/>
        </w:rPr>
        <w:t>późn</w:t>
      </w:r>
      <w:proofErr w:type="spellEnd"/>
      <w:r w:rsidR="00DF274B">
        <w:rPr>
          <w:b/>
          <w:sz w:val="20"/>
        </w:rPr>
        <w:t>. zmian.</w:t>
      </w:r>
      <w:r w:rsidRPr="00C9131E">
        <w:rPr>
          <w:b/>
          <w:sz w:val="20"/>
        </w:rPr>
        <w:t xml:space="preserve">), jest podmiot wymieniony w wykazach określonych w rozporządzeniu 765/2006 </w:t>
      </w:r>
      <w:r w:rsidR="009422D1">
        <w:rPr>
          <w:b/>
          <w:sz w:val="20"/>
        </w:rPr>
        <w:br/>
      </w:r>
      <w:r w:rsidRPr="00C9131E">
        <w:rPr>
          <w:b/>
          <w:sz w:val="20"/>
        </w:rPr>
        <w:t xml:space="preserve">i rozporządzeniu 269/2014 albo wpisany na listę lub będący taką jednostką dominującą od dnia </w:t>
      </w:r>
      <w:r w:rsidR="009422D1">
        <w:rPr>
          <w:b/>
          <w:sz w:val="20"/>
        </w:rPr>
        <w:br/>
      </w:r>
      <w:r w:rsidRPr="00C9131E">
        <w:rPr>
          <w:b/>
          <w:sz w:val="20"/>
        </w:rPr>
        <w:t xml:space="preserve">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Default="00C9131E" w:rsidP="00886955">
      <w:pPr>
        <w:pStyle w:val="Nagwek2"/>
        <w:rPr>
          <w:sz w:val="20"/>
        </w:rPr>
      </w:pPr>
      <w:r>
        <w:rPr>
          <w:sz w:val="20"/>
        </w:rPr>
        <w:t>10.4. Wykonawca może zostać wykluczony przez Zamawiającego na każdym etapie postępowania o udzielenie zamówienia.</w:t>
      </w:r>
    </w:p>
    <w:p w:rsidR="000A3F20" w:rsidRDefault="000A3F20" w:rsidP="00886955">
      <w:pPr>
        <w:pStyle w:val="Nagwek2"/>
        <w:rPr>
          <w:sz w:val="20"/>
        </w:rPr>
      </w:pPr>
    </w:p>
    <w:p w:rsidR="000A3F20" w:rsidRPr="00020372" w:rsidRDefault="000A3F20" w:rsidP="00886955">
      <w:pPr>
        <w:pStyle w:val="Nagwek2"/>
        <w:rPr>
          <w:sz w:val="20"/>
        </w:rPr>
      </w:pP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lastRenderedPageBreak/>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97633D" w:rsidRPr="00020372" w:rsidRDefault="0097633D" w:rsidP="00886955">
      <w:pPr>
        <w:pStyle w:val="Nagwek2"/>
        <w:rPr>
          <w:sz w:val="20"/>
        </w:rPr>
      </w:pPr>
    </w:p>
    <w:p w:rsidR="008A0411" w:rsidRPr="00020372" w:rsidRDefault="0097633D" w:rsidP="000C6F7A">
      <w:pPr>
        <w:pStyle w:val="Nagwek1"/>
        <w:rPr>
          <w:rFonts w:ascii="Arial" w:hAnsi="Arial" w:cs="Arial"/>
          <w:sz w:val="20"/>
          <w:szCs w:val="20"/>
          <w:highlight w:val="lightGray"/>
        </w:rPr>
      </w:pPr>
      <w:bookmarkStart w:id="21" w:name="_Toc108435079"/>
      <w:r>
        <w:rPr>
          <w:rFonts w:ascii="Arial" w:hAnsi="Arial" w:cs="Arial"/>
          <w:sz w:val="20"/>
          <w:szCs w:val="20"/>
          <w:highlight w:val="lightGray"/>
        </w:rPr>
        <w:t xml:space="preserve"> </w:t>
      </w:r>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lastRenderedPageBreak/>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lastRenderedPageBreak/>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lastRenderedPageBreak/>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5228F1"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FD3945" w:rsidP="00886955">
      <w:pPr>
        <w:pStyle w:val="Nagwek2"/>
        <w:rPr>
          <w:sz w:val="20"/>
        </w:rPr>
      </w:pPr>
      <w:r>
        <w:rPr>
          <w:sz w:val="20"/>
        </w:rPr>
        <w:t>Wadium w niniejszym postępowaniu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08435085"/>
      <w:r w:rsidR="00D46E02"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771207">
        <w:rPr>
          <w:b/>
          <w:color w:val="FF0000"/>
          <w:sz w:val="20"/>
        </w:rPr>
        <w:t>1</w:t>
      </w:r>
      <w:r w:rsidR="007A456E">
        <w:rPr>
          <w:b/>
          <w:color w:val="FF0000"/>
          <w:sz w:val="20"/>
        </w:rPr>
        <w:t>1</w:t>
      </w:r>
      <w:r w:rsidR="00F1197B" w:rsidRPr="003E46AF">
        <w:rPr>
          <w:b/>
          <w:color w:val="FF0000"/>
          <w:sz w:val="20"/>
        </w:rPr>
        <w:t>.</w:t>
      </w:r>
      <w:r w:rsidR="00771207">
        <w:rPr>
          <w:b/>
          <w:color w:val="FF0000"/>
          <w:sz w:val="20"/>
        </w:rPr>
        <w:t>03</w:t>
      </w:r>
      <w:r w:rsidR="005B1CEE" w:rsidRPr="003E46AF">
        <w:rPr>
          <w:b/>
          <w:color w:val="FF0000"/>
          <w:sz w:val="20"/>
        </w:rPr>
        <w:t>.202</w:t>
      </w:r>
      <w:r w:rsidR="00771207">
        <w:rPr>
          <w:b/>
          <w:color w:val="FF0000"/>
          <w:sz w:val="20"/>
        </w:rPr>
        <w:t>3</w:t>
      </w:r>
      <w:r w:rsidR="005B1CEE" w:rsidRPr="003E46AF">
        <w:rPr>
          <w:b/>
          <w:color w:val="FF0000"/>
          <w:sz w:val="20"/>
        </w:rPr>
        <w:t xml:space="preserve"> </w:t>
      </w:r>
      <w:r w:rsidR="00D46E02" w:rsidRPr="003E46AF">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6"/>
      <w:r w:rsidR="0040646A" w:rsidRPr="00020372">
        <w:rPr>
          <w:rFonts w:ascii="Arial" w:hAnsi="Arial" w:cs="Arial"/>
          <w:sz w:val="20"/>
          <w:szCs w:val="20"/>
          <w:highlight w:val="lightGray"/>
        </w:rPr>
        <w:t>SPOSÓB I TERMIN SKŁADANIA I OTWARCIA OFERT</w:t>
      </w:r>
      <w:bookmarkEnd w:id="30"/>
    </w:p>
    <w:p w:rsidR="0040646A" w:rsidRPr="00B57643" w:rsidRDefault="001F0140" w:rsidP="00886955">
      <w:pPr>
        <w:pStyle w:val="Nagwek2"/>
        <w:rPr>
          <w:color w:val="FF0000"/>
          <w:sz w:val="20"/>
        </w:rPr>
      </w:pPr>
      <w:r w:rsidRPr="00020372">
        <w:rPr>
          <w:sz w:val="20"/>
        </w:rPr>
        <w:t>19</w:t>
      </w:r>
      <w:r w:rsidR="0040646A" w:rsidRPr="00020372">
        <w:rPr>
          <w:sz w:val="20"/>
        </w:rPr>
        <w:t xml:space="preserve">.1. Ofertę należy złożyć poprzez Platformę do dnia </w:t>
      </w:r>
      <w:r w:rsidR="008603BD">
        <w:rPr>
          <w:b/>
          <w:color w:val="FF0000"/>
          <w:sz w:val="20"/>
        </w:rPr>
        <w:t>10</w:t>
      </w:r>
      <w:r w:rsidR="002C694C" w:rsidRPr="00721A57">
        <w:rPr>
          <w:b/>
          <w:color w:val="FF0000"/>
          <w:sz w:val="20"/>
        </w:rPr>
        <w:t>.</w:t>
      </w:r>
      <w:r w:rsidR="008603BD">
        <w:rPr>
          <w:b/>
          <w:color w:val="FF0000"/>
          <w:sz w:val="20"/>
        </w:rPr>
        <w:t>02</w:t>
      </w:r>
      <w:r w:rsidR="002C694C" w:rsidRPr="00721A57">
        <w:rPr>
          <w:b/>
          <w:color w:val="FF0000"/>
          <w:sz w:val="20"/>
        </w:rPr>
        <w:t>.202</w:t>
      </w:r>
      <w:r w:rsidR="008603BD">
        <w:rPr>
          <w:b/>
          <w:color w:val="FF0000"/>
          <w:sz w:val="20"/>
        </w:rPr>
        <w:t>3</w:t>
      </w:r>
      <w:r w:rsidR="002C694C" w:rsidRPr="00721A57">
        <w:rPr>
          <w:b/>
          <w:color w:val="FF0000"/>
          <w:sz w:val="20"/>
        </w:rPr>
        <w:t xml:space="preserve"> r</w:t>
      </w:r>
      <w:r w:rsidR="002C694C" w:rsidRPr="00721A57">
        <w:rPr>
          <w:b/>
          <w:sz w:val="20"/>
        </w:rPr>
        <w:t>.</w:t>
      </w:r>
      <w:r w:rsidR="0040646A" w:rsidRPr="00020372">
        <w:rPr>
          <w:sz w:val="20"/>
        </w:rPr>
        <w:t xml:space="preserve"> do godziny </w:t>
      </w:r>
      <w:r w:rsidR="0040646A" w:rsidRPr="00721A57">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8603BD">
        <w:rPr>
          <w:b/>
          <w:color w:val="FF0000"/>
          <w:sz w:val="20"/>
        </w:rPr>
        <w:t>10</w:t>
      </w:r>
      <w:r w:rsidR="002C694C" w:rsidRPr="00721A57">
        <w:rPr>
          <w:b/>
          <w:color w:val="FF0000"/>
          <w:sz w:val="20"/>
        </w:rPr>
        <w:t>.</w:t>
      </w:r>
      <w:r w:rsidR="008603BD">
        <w:rPr>
          <w:b/>
          <w:color w:val="FF0000"/>
          <w:sz w:val="20"/>
        </w:rPr>
        <w:t>02</w:t>
      </w:r>
      <w:r w:rsidR="002C694C" w:rsidRPr="00721A57">
        <w:rPr>
          <w:b/>
          <w:color w:val="FF0000"/>
          <w:sz w:val="20"/>
        </w:rPr>
        <w:t>.202</w:t>
      </w:r>
      <w:r w:rsidR="008603BD">
        <w:rPr>
          <w:b/>
          <w:color w:val="FF0000"/>
          <w:sz w:val="20"/>
        </w:rPr>
        <w:t>3</w:t>
      </w:r>
      <w:r w:rsidR="002C694C" w:rsidRPr="00721A57">
        <w:rPr>
          <w:b/>
          <w:color w:val="FF0000"/>
          <w:sz w:val="20"/>
        </w:rPr>
        <w:t xml:space="preserve"> r</w:t>
      </w:r>
      <w:r w:rsidR="002C694C" w:rsidRPr="00721A57">
        <w:rPr>
          <w:b/>
          <w:sz w:val="20"/>
        </w:rPr>
        <w:t>.</w:t>
      </w:r>
      <w:r w:rsidR="0040646A" w:rsidRPr="00020372">
        <w:rPr>
          <w:sz w:val="20"/>
        </w:rPr>
        <w:t xml:space="preserve"> o godzinie </w:t>
      </w:r>
      <w:r w:rsidR="00BC3F3B" w:rsidRPr="00721A57">
        <w:rPr>
          <w:b/>
          <w:color w:val="FF0000"/>
          <w:sz w:val="20"/>
        </w:rPr>
        <w:t>11</w:t>
      </w:r>
      <w:r w:rsidR="0040646A" w:rsidRPr="00721A57">
        <w:rPr>
          <w:b/>
          <w:color w:val="FF0000"/>
          <w:sz w:val="20"/>
        </w:rPr>
        <w:t>:30</w:t>
      </w:r>
      <w:r w:rsidR="00BC3F3B" w:rsidRPr="00721A5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lastRenderedPageBreak/>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08435087"/>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B30B15" w:rsidP="000C6F7A">
      <w:pPr>
        <w:pStyle w:val="Nagwek1"/>
        <w:rPr>
          <w:rFonts w:ascii="Arial" w:hAnsi="Arial" w:cs="Arial"/>
          <w:sz w:val="20"/>
          <w:szCs w:val="20"/>
          <w:highlight w:val="lightGray"/>
        </w:rPr>
      </w:pPr>
      <w:bookmarkStart w:id="33" w:name="_Toc108435089"/>
      <w:r>
        <w:rPr>
          <w:rFonts w:ascii="Arial" w:hAnsi="Arial" w:cs="Arial"/>
          <w:sz w:val="20"/>
          <w:szCs w:val="20"/>
          <w:highlight w:val="lightGray"/>
        </w:rPr>
        <w:t xml:space="preserve"> </w:t>
      </w:r>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 xml:space="preserve">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w:t>
      </w:r>
      <w:r w:rsidRPr="00020372">
        <w:rPr>
          <w:sz w:val="20"/>
        </w:rPr>
        <w:lastRenderedPageBreak/>
        <w:t>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B30B15" w:rsidP="000C6F7A">
      <w:pPr>
        <w:pStyle w:val="Nagwek1"/>
        <w:rPr>
          <w:rFonts w:ascii="Arial" w:hAnsi="Arial" w:cs="Arial"/>
          <w:sz w:val="20"/>
          <w:szCs w:val="20"/>
          <w:highlight w:val="lightGray"/>
        </w:rPr>
      </w:pPr>
      <w:bookmarkStart w:id="34" w:name="_Toc108435090"/>
      <w:r>
        <w:rPr>
          <w:rFonts w:ascii="Arial" w:hAnsi="Arial" w:cs="Arial"/>
          <w:sz w:val="20"/>
          <w:szCs w:val="20"/>
          <w:highlight w:val="lightGray"/>
        </w:rPr>
        <w:t xml:space="preserve"> </w:t>
      </w:r>
      <w:r w:rsidR="0075503F"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B30B15" w:rsidP="000C6F7A">
      <w:pPr>
        <w:pStyle w:val="Nagwek1"/>
        <w:rPr>
          <w:rFonts w:ascii="Arial" w:hAnsi="Arial" w:cs="Arial"/>
          <w:sz w:val="20"/>
          <w:szCs w:val="20"/>
          <w:highlight w:val="lightGray"/>
        </w:rPr>
      </w:pPr>
      <w:bookmarkStart w:id="35" w:name="_Toc108435091"/>
      <w:r>
        <w:rPr>
          <w:rFonts w:ascii="Arial" w:hAnsi="Arial" w:cs="Arial"/>
          <w:sz w:val="20"/>
          <w:szCs w:val="20"/>
          <w:highlight w:val="lightGray"/>
        </w:rPr>
        <w:t xml:space="preserve"> </w:t>
      </w:r>
      <w:r w:rsidR="00A342E1"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lastRenderedPageBreak/>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B1" w:rsidRDefault="002F68B1">
      <w:r>
        <w:separator/>
      </w:r>
    </w:p>
  </w:endnote>
  <w:endnote w:type="continuationSeparator" w:id="0">
    <w:p w:rsidR="002F68B1" w:rsidRDefault="002F6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5228F1">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2F68B1" w:rsidRPr="002E6E4B" w:rsidRDefault="002F68B1">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5228F1"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5228F1" w:rsidRPr="002E6E4B">
      <w:rPr>
        <w:rStyle w:val="Numerstrony"/>
        <w:rFonts w:ascii="Arial" w:hAnsi="Arial" w:cs="Arial"/>
        <w:sz w:val="18"/>
        <w:szCs w:val="18"/>
      </w:rPr>
      <w:fldChar w:fldCharType="separate"/>
    </w:r>
    <w:r w:rsidR="0086395B">
      <w:rPr>
        <w:rStyle w:val="Numerstrony"/>
        <w:rFonts w:ascii="Arial" w:hAnsi="Arial" w:cs="Arial"/>
        <w:noProof/>
        <w:sz w:val="18"/>
        <w:szCs w:val="18"/>
      </w:rPr>
      <w:t>17</w:t>
    </w:r>
    <w:r w:rsidR="005228F1"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5228F1"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5228F1" w:rsidRPr="002E6E4B">
      <w:rPr>
        <w:rStyle w:val="Numerstrony"/>
        <w:rFonts w:ascii="Arial" w:hAnsi="Arial" w:cs="Arial"/>
        <w:sz w:val="18"/>
        <w:szCs w:val="18"/>
      </w:rPr>
      <w:fldChar w:fldCharType="separate"/>
    </w:r>
    <w:r w:rsidR="0086395B">
      <w:rPr>
        <w:rStyle w:val="Numerstrony"/>
        <w:rFonts w:ascii="Arial" w:hAnsi="Arial" w:cs="Arial"/>
        <w:noProof/>
        <w:sz w:val="18"/>
        <w:szCs w:val="18"/>
      </w:rPr>
      <w:t>20</w:t>
    </w:r>
    <w:r w:rsidR="005228F1"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2F68B1" w:rsidRDefault="005228F1">
        <w:pPr>
          <w:pStyle w:val="Stopka"/>
          <w:jc w:val="right"/>
        </w:pPr>
        <w:r w:rsidRPr="009B37A6">
          <w:rPr>
            <w:rFonts w:ascii="Arial" w:hAnsi="Arial" w:cs="Arial"/>
            <w:sz w:val="20"/>
          </w:rPr>
          <w:fldChar w:fldCharType="begin"/>
        </w:r>
        <w:r w:rsidR="002F68B1" w:rsidRPr="009B37A6">
          <w:rPr>
            <w:rFonts w:ascii="Arial" w:hAnsi="Arial" w:cs="Arial"/>
            <w:sz w:val="20"/>
          </w:rPr>
          <w:instrText xml:space="preserve"> PAGE   \* MERGEFORMAT </w:instrText>
        </w:r>
        <w:r w:rsidRPr="009B37A6">
          <w:rPr>
            <w:rFonts w:ascii="Arial" w:hAnsi="Arial" w:cs="Arial"/>
            <w:sz w:val="20"/>
          </w:rPr>
          <w:fldChar w:fldCharType="separate"/>
        </w:r>
        <w:r w:rsidR="00361D8D">
          <w:rPr>
            <w:rFonts w:ascii="Arial" w:hAnsi="Arial" w:cs="Arial"/>
            <w:noProof/>
            <w:sz w:val="20"/>
          </w:rPr>
          <w:t>1</w:t>
        </w:r>
        <w:r w:rsidRPr="009B37A6">
          <w:rPr>
            <w:rFonts w:ascii="Arial" w:hAnsi="Arial" w:cs="Arial"/>
            <w:sz w:val="20"/>
          </w:rPr>
          <w:fldChar w:fldCharType="end"/>
        </w:r>
      </w:p>
    </w:sdtContent>
  </w:sdt>
  <w:p w:rsidR="002F68B1" w:rsidRDefault="002F68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B1" w:rsidRDefault="002F68B1">
      <w:r>
        <w:separator/>
      </w:r>
    </w:p>
  </w:footnote>
  <w:footnote w:type="continuationSeparator" w:id="0">
    <w:p w:rsidR="002F68B1" w:rsidRDefault="002F6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8B1" w:rsidRDefault="002F68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22"/>
    <w:rsid w:val="000A3E19"/>
    <w:rsid w:val="000A3F20"/>
    <w:rsid w:val="000A402D"/>
    <w:rsid w:val="000A49DA"/>
    <w:rsid w:val="000A4AD9"/>
    <w:rsid w:val="000A59AF"/>
    <w:rsid w:val="000A5E4D"/>
    <w:rsid w:val="000A6094"/>
    <w:rsid w:val="000A6CD1"/>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2E3E"/>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58D"/>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6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8B1"/>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B9A"/>
    <w:rsid w:val="00333EB5"/>
    <w:rsid w:val="00333EF6"/>
    <w:rsid w:val="00334E8F"/>
    <w:rsid w:val="003353BD"/>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D8D"/>
    <w:rsid w:val="00361F7F"/>
    <w:rsid w:val="00362492"/>
    <w:rsid w:val="00362989"/>
    <w:rsid w:val="00362B1E"/>
    <w:rsid w:val="0036390A"/>
    <w:rsid w:val="00363B64"/>
    <w:rsid w:val="00365B99"/>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31E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B0D"/>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4ED"/>
    <w:rsid w:val="004F56B9"/>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8F1"/>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3D8"/>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763"/>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976"/>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015"/>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0EE6"/>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5F742F"/>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566"/>
    <w:rsid w:val="006D0F85"/>
    <w:rsid w:val="006D1974"/>
    <w:rsid w:val="006D202A"/>
    <w:rsid w:val="006D21E8"/>
    <w:rsid w:val="006D23A9"/>
    <w:rsid w:val="006D304B"/>
    <w:rsid w:val="006D4551"/>
    <w:rsid w:val="006D463F"/>
    <w:rsid w:val="006D5421"/>
    <w:rsid w:val="006D55B8"/>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00B5"/>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9CA"/>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1207"/>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395"/>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6E"/>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5EC4"/>
    <w:rsid w:val="007F683D"/>
    <w:rsid w:val="00800A12"/>
    <w:rsid w:val="00800C81"/>
    <w:rsid w:val="00802049"/>
    <w:rsid w:val="00803F80"/>
    <w:rsid w:val="00804005"/>
    <w:rsid w:val="0080459C"/>
    <w:rsid w:val="008046F0"/>
    <w:rsid w:val="008056A9"/>
    <w:rsid w:val="00805F8C"/>
    <w:rsid w:val="008065C0"/>
    <w:rsid w:val="00806A12"/>
    <w:rsid w:val="0080773D"/>
    <w:rsid w:val="00810320"/>
    <w:rsid w:val="00810341"/>
    <w:rsid w:val="0081176D"/>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522"/>
    <w:rsid w:val="00847C81"/>
    <w:rsid w:val="00850CFB"/>
    <w:rsid w:val="00850EF7"/>
    <w:rsid w:val="008514C4"/>
    <w:rsid w:val="00853EF5"/>
    <w:rsid w:val="0085461F"/>
    <w:rsid w:val="00855B32"/>
    <w:rsid w:val="00855B95"/>
    <w:rsid w:val="008560E4"/>
    <w:rsid w:val="00856BF2"/>
    <w:rsid w:val="00856EEB"/>
    <w:rsid w:val="00857A20"/>
    <w:rsid w:val="00857FCE"/>
    <w:rsid w:val="008603BD"/>
    <w:rsid w:val="00861B28"/>
    <w:rsid w:val="00861E28"/>
    <w:rsid w:val="00862609"/>
    <w:rsid w:val="00862DA4"/>
    <w:rsid w:val="008634AC"/>
    <w:rsid w:val="008634CF"/>
    <w:rsid w:val="0086395B"/>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AA4"/>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33D"/>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D78A0"/>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93D"/>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EE"/>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676AE"/>
    <w:rsid w:val="00A70023"/>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3A49"/>
    <w:rsid w:val="00A84256"/>
    <w:rsid w:val="00A8535D"/>
    <w:rsid w:val="00A85583"/>
    <w:rsid w:val="00A8562E"/>
    <w:rsid w:val="00A85DBC"/>
    <w:rsid w:val="00A86282"/>
    <w:rsid w:val="00A86605"/>
    <w:rsid w:val="00A86F90"/>
    <w:rsid w:val="00A87184"/>
    <w:rsid w:val="00A90128"/>
    <w:rsid w:val="00A90EB4"/>
    <w:rsid w:val="00A91290"/>
    <w:rsid w:val="00A912BE"/>
    <w:rsid w:val="00A916B3"/>
    <w:rsid w:val="00A91F42"/>
    <w:rsid w:val="00A92121"/>
    <w:rsid w:val="00A9240B"/>
    <w:rsid w:val="00A92602"/>
    <w:rsid w:val="00A929B6"/>
    <w:rsid w:val="00A92BAF"/>
    <w:rsid w:val="00A92BDE"/>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553"/>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838"/>
    <w:rsid w:val="00B14C49"/>
    <w:rsid w:val="00B15A62"/>
    <w:rsid w:val="00B15D51"/>
    <w:rsid w:val="00B15E11"/>
    <w:rsid w:val="00B16728"/>
    <w:rsid w:val="00B16736"/>
    <w:rsid w:val="00B1697D"/>
    <w:rsid w:val="00B170B9"/>
    <w:rsid w:val="00B1744C"/>
    <w:rsid w:val="00B20E0E"/>
    <w:rsid w:val="00B22396"/>
    <w:rsid w:val="00B2344D"/>
    <w:rsid w:val="00B23742"/>
    <w:rsid w:val="00B24A82"/>
    <w:rsid w:val="00B25B45"/>
    <w:rsid w:val="00B261D4"/>
    <w:rsid w:val="00B26212"/>
    <w:rsid w:val="00B267C8"/>
    <w:rsid w:val="00B26DDB"/>
    <w:rsid w:val="00B27B11"/>
    <w:rsid w:val="00B304C5"/>
    <w:rsid w:val="00B30B1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113"/>
    <w:rsid w:val="00C01CDF"/>
    <w:rsid w:val="00C02931"/>
    <w:rsid w:val="00C03499"/>
    <w:rsid w:val="00C03664"/>
    <w:rsid w:val="00C03E42"/>
    <w:rsid w:val="00C058C4"/>
    <w:rsid w:val="00C062E8"/>
    <w:rsid w:val="00C06D30"/>
    <w:rsid w:val="00C06D58"/>
    <w:rsid w:val="00C10FCE"/>
    <w:rsid w:val="00C130EE"/>
    <w:rsid w:val="00C1374F"/>
    <w:rsid w:val="00C14216"/>
    <w:rsid w:val="00C1474E"/>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76A"/>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66B"/>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CE1"/>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E743B"/>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17B3C"/>
    <w:rsid w:val="00E17E8B"/>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3A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1AE"/>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A17"/>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945"/>
    <w:rsid w:val="00FD3CDD"/>
    <w:rsid w:val="00FD41D8"/>
    <w:rsid w:val="00FD4B0C"/>
    <w:rsid w:val="00FD5125"/>
    <w:rsid w:val="00FD59B2"/>
    <w:rsid w:val="00FD5B5F"/>
    <w:rsid w:val="00FD5BBC"/>
    <w:rsid w:val="00FD6178"/>
    <w:rsid w:val="00FD62A4"/>
    <w:rsid w:val="00FD6972"/>
    <w:rsid w:val="00FD7B65"/>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ACF9A-F41A-4F53-930E-4BF48A84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20</Pages>
  <Words>9132</Words>
  <Characters>60189</Characters>
  <Application>Microsoft Office Word</Application>
  <DocSecurity>0</DocSecurity>
  <Lines>501</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cp:revision>
  <cp:lastPrinted>2023-01-25T10:10:00Z</cp:lastPrinted>
  <dcterms:created xsi:type="dcterms:W3CDTF">2023-02-09T09:41:00Z</dcterms:created>
  <dcterms:modified xsi:type="dcterms:W3CDTF">2023-02-09T09:41:00Z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