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9ABFC48" w14:textId="77777777" w:rsidR="002E7759" w:rsidRPr="002E7759" w:rsidRDefault="002E7759" w:rsidP="002E7759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2E7759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83080815"/>
      <w:r w:rsidRPr="002E7759">
        <w:rPr>
          <w:rFonts w:cstheme="minorHAnsi"/>
          <w:b/>
          <w:bCs/>
          <w:sz w:val="24"/>
          <w:szCs w:val="24"/>
          <w:lang w:val="pl-PL"/>
        </w:rPr>
        <w:t xml:space="preserve">Udzielenie i obsługa długoterminowego kredytu w wysokości 4 800 000,00 złotych – </w:t>
      </w:r>
    </w:p>
    <w:p w14:paraId="27C6FCD5" w14:textId="55FA4772" w:rsidR="004E46D2" w:rsidRPr="002D050E" w:rsidRDefault="002E7759" w:rsidP="002E7759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2E7759">
        <w:rPr>
          <w:rFonts w:cstheme="minorHAnsi"/>
          <w:b/>
          <w:bCs/>
          <w:sz w:val="24"/>
          <w:szCs w:val="24"/>
          <w:lang w:val="pl-PL"/>
        </w:rPr>
        <w:t>na sfinansowanie spłaty wcześniej zaciągniętych pożyczek i kredytów oraz na finansowanie deficytu budżetu</w:t>
      </w:r>
      <w:bookmarkEnd w:id="0"/>
      <w:r w:rsidRPr="002E7759">
        <w:rPr>
          <w:rFonts w:cstheme="minorHAnsi"/>
          <w:b/>
          <w:bCs/>
          <w:sz w:val="24"/>
          <w:szCs w:val="24"/>
          <w:lang w:val="pl-PL"/>
        </w:rPr>
        <w:t>”</w:t>
      </w:r>
    </w:p>
    <w:p w14:paraId="111C98B4" w14:textId="77777777" w:rsidR="002E7759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54CB6FBB" w14:textId="4F85ED6C" w:rsidR="002D316B" w:rsidRPr="002D050E" w:rsidRDefault="009C5CAF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2E7759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F11AB8"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2E7759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1DFE88B0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746C95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2E7759">
      <w:pPr>
        <w:numPr>
          <w:ilvl w:val="0"/>
          <w:numId w:val="1"/>
        </w:numPr>
        <w:spacing w:line="360" w:lineRule="auto"/>
        <w:ind w:left="394" w:hanging="394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2E7759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0D639AEA" w14:textId="77777777" w:rsidR="00D66B17" w:rsidRPr="002D050E" w:rsidRDefault="00D66B17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969E759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4D3DC14A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D3F3D3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52D1357" w14:textId="508BD0EA" w:rsidR="00D66B17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F84FE8C" w14:textId="77777777" w:rsidR="00D66B17" w:rsidRPr="002D050E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21FDEDEE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D4BDA2E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9D876C" w14:textId="6A203E75" w:rsidR="00D66B17" w:rsidRDefault="00D66B17" w:rsidP="00D66B17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lastRenderedPageBreak/>
        <w:t xml:space="preserve">Rady (UE) z dnia 31 lipca 2014 r. nr 833/2014 dotyczącego środków ograniczających </w:t>
      </w:r>
      <w:r w:rsidR="003927B8"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740F7432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p w14:paraId="4714BE86" w14:textId="77777777" w:rsidR="00D66B17" w:rsidRPr="002D050E" w:rsidRDefault="00D66B1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4F7371D3" w:rsidR="00637EF7" w:rsidRPr="002E7759" w:rsidRDefault="0003738A" w:rsidP="002E7759">
    <w:pPr>
      <w:widowControl/>
      <w:pBdr>
        <w:top w:val="single" w:sz="4" w:space="1" w:color="auto"/>
      </w:pBdr>
      <w:ind w:right="-142"/>
      <w:rPr>
        <w:rFonts w:eastAsia="Times New Roman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2E7759" w:rsidRPr="002E7759">
      <w:rPr>
        <w:rFonts w:eastAsia="Times New Roman" w:cs="Calibri"/>
        <w:b/>
        <w:bCs/>
        <w:i/>
        <w:iCs/>
        <w:sz w:val="18"/>
        <w:szCs w:val="20"/>
        <w:lang w:val="pl-PL" w:eastAsia="pl-PL"/>
      </w:rPr>
      <w:t xml:space="preserve">Udzielenie i obsługa długoterminowego kredytu w wysokości 4 800 000,00 złotych – </w:t>
    </w:r>
    <w:r w:rsidR="002E7759" w:rsidRPr="002E7759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na sfinansowanie spłaty wcześniej zaciągniętych pożyczek i kredytów oraz na finansowanie deficytu budżetu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73D1" w14:textId="1091B509" w:rsidR="00746C95" w:rsidRDefault="00746C95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 w:cs="Calibri"/>
        <w:i/>
        <w:sz w:val="18"/>
        <w:szCs w:val="18"/>
        <w:lang w:val="x-none" w:eastAsia="ar-SA"/>
      </w:rPr>
    </w:pPr>
  </w:p>
  <w:p w14:paraId="74EA6F5E" w14:textId="23537E3C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D66B17">
      <w:rPr>
        <w:rFonts w:ascii="Calibri" w:hAnsi="Calibri"/>
        <w:b/>
        <w:bCs/>
        <w:color w:val="4F81BD"/>
        <w:sz w:val="18"/>
        <w:szCs w:val="18"/>
        <w:lang w:eastAsia="ar-SA"/>
      </w:rPr>
      <w:t>2</w:t>
    </w:r>
    <w:r w:rsidR="002E7759">
      <w:rPr>
        <w:rFonts w:ascii="Calibri" w:hAnsi="Calibri"/>
        <w:b/>
        <w:bCs/>
        <w:color w:val="4F81BD"/>
        <w:sz w:val="18"/>
        <w:szCs w:val="18"/>
        <w:lang w:eastAsia="ar-SA"/>
      </w:rPr>
      <w:t>5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45A9"/>
    <w:rsid w:val="001517C7"/>
    <w:rsid w:val="00184ED4"/>
    <w:rsid w:val="001861D3"/>
    <w:rsid w:val="001D74B9"/>
    <w:rsid w:val="001E3E6B"/>
    <w:rsid w:val="002456DA"/>
    <w:rsid w:val="0028303E"/>
    <w:rsid w:val="002D050E"/>
    <w:rsid w:val="002D2C0E"/>
    <w:rsid w:val="002D316B"/>
    <w:rsid w:val="002D6A3D"/>
    <w:rsid w:val="002E7759"/>
    <w:rsid w:val="002F6DCF"/>
    <w:rsid w:val="00344BD0"/>
    <w:rsid w:val="003927B8"/>
    <w:rsid w:val="003D1106"/>
    <w:rsid w:val="003D58DE"/>
    <w:rsid w:val="004076F1"/>
    <w:rsid w:val="004076F4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746C95"/>
    <w:rsid w:val="0084045C"/>
    <w:rsid w:val="0085310C"/>
    <w:rsid w:val="00886B99"/>
    <w:rsid w:val="008F5CA2"/>
    <w:rsid w:val="009B45C8"/>
    <w:rsid w:val="009C5CAF"/>
    <w:rsid w:val="00A133F9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66B17"/>
    <w:rsid w:val="00D8390F"/>
    <w:rsid w:val="00DA296E"/>
    <w:rsid w:val="00DD55D1"/>
    <w:rsid w:val="00E55140"/>
    <w:rsid w:val="00E70773"/>
    <w:rsid w:val="00F11AB8"/>
    <w:rsid w:val="00F22137"/>
    <w:rsid w:val="00F2725D"/>
    <w:rsid w:val="00F36F66"/>
    <w:rsid w:val="00F730B6"/>
    <w:rsid w:val="00F82A38"/>
    <w:rsid w:val="00FA3C03"/>
    <w:rsid w:val="00FB7C31"/>
    <w:rsid w:val="00FC65D4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23</cp:revision>
  <cp:lastPrinted>2023-11-14T11:56:00Z</cp:lastPrinted>
  <dcterms:created xsi:type="dcterms:W3CDTF">2022-04-21T08:22:00Z</dcterms:created>
  <dcterms:modified xsi:type="dcterms:W3CDTF">2024-11-21T10:28:00Z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