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</w:t>
      </w:r>
      <w:r w:rsidR="00E244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09B5"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sieci wodociągowej 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0709B5" w:rsidRDefault="000709B5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726E5D">
      <w:pPr>
        <w:pStyle w:val="Podtytu"/>
        <w:jc w:val="right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BC5489" w:rsidRDefault="00BC5489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87692D">
      <w:pPr>
        <w:pStyle w:val="Podtytu"/>
        <w:jc w:val="right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 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990598" w:rsidRDefault="00990598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5C6526">
        <w:rPr>
          <w:rFonts w:ascii="Times New Roman" w:hAnsi="Times New Roman" w:cs="Times New Roman"/>
          <w:snapToGrid w:val="0"/>
          <w:sz w:val="24"/>
          <w:szCs w:val="24"/>
        </w:rPr>
        <w:t>sieci wodociągowej</w:t>
      </w:r>
      <w:r w:rsidR="000709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w Brzeziu - </w:t>
      </w:r>
      <w:r w:rsidR="000709B5">
        <w:rPr>
          <w:rFonts w:ascii="Times New Roman" w:hAnsi="Times New Roman" w:cs="Times New Roman"/>
          <w:snapToGrid w:val="0"/>
          <w:sz w:val="24"/>
          <w:szCs w:val="24"/>
        </w:rPr>
        <w:t>etap I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60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(słownie złotych: .........................................................................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BF" w:rsidRDefault="00D410BF" w:rsidP="00CD53AB">
      <w:pPr>
        <w:spacing w:after="0" w:line="240" w:lineRule="auto"/>
      </w:pPr>
      <w:r>
        <w:separator/>
      </w:r>
    </w:p>
  </w:endnote>
  <w:endnote w:type="continuationSeparator" w:id="0">
    <w:p w:rsidR="00D410BF" w:rsidRDefault="00D410BF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BF" w:rsidRDefault="00D410BF" w:rsidP="00CD53AB">
      <w:pPr>
        <w:spacing w:after="0" w:line="240" w:lineRule="auto"/>
      </w:pPr>
      <w:r>
        <w:separator/>
      </w:r>
    </w:p>
  </w:footnote>
  <w:footnote w:type="continuationSeparator" w:id="0">
    <w:p w:rsidR="00D410BF" w:rsidRDefault="00D410BF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7307-1EB0-4AB2-A100-23B6DD07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8</cp:revision>
  <cp:lastPrinted>2019-06-27T11:10:00Z</cp:lastPrinted>
  <dcterms:created xsi:type="dcterms:W3CDTF">2019-10-15T08:37:00Z</dcterms:created>
  <dcterms:modified xsi:type="dcterms:W3CDTF">2021-05-19T11:20:00Z</dcterms:modified>
</cp:coreProperties>
</file>