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F573" w14:textId="77777777" w:rsidR="00FA3B22" w:rsidRPr="00FA3B22" w:rsidRDefault="00FA3B22" w:rsidP="00FA3B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A3B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AB8EC81" w14:textId="7E496341" w:rsidR="00FA3B22" w:rsidRPr="00FA3B22" w:rsidRDefault="00FA3B22" w:rsidP="00FA3B2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B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35605C1" w14:textId="77777777" w:rsidR="00FA3B22" w:rsidRPr="00FA3B22" w:rsidRDefault="00FA3B22" w:rsidP="00FA3B2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3B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6277E61" w14:textId="77777777" w:rsidR="00FA3B22" w:rsidRPr="00FA3B22" w:rsidRDefault="00FA3B22" w:rsidP="00FA3B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A3B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4280ABC" w14:textId="6071A18F" w:rsidR="00FA3B22" w:rsidRPr="00FA3B22" w:rsidRDefault="00FA3B22" w:rsidP="00FA3B2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B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0F308A51" w14:textId="77777777" w:rsidR="00FA3B22" w:rsidRPr="00FA3B22" w:rsidRDefault="00FA3B22" w:rsidP="00FA3B2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3B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4370BDC" w14:textId="77777777" w:rsidR="00FA3B22" w:rsidRPr="00FA3B22" w:rsidRDefault="00FA3B22" w:rsidP="00FA3B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CEC6DE" w14:textId="77777777" w:rsidR="00FA3B22" w:rsidRPr="00FA3B22" w:rsidRDefault="00FA3B22" w:rsidP="00FA3B22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DB02B95" w14:textId="77777777" w:rsidR="00FA3B22" w:rsidRPr="00FA3B22" w:rsidRDefault="00FA3B22" w:rsidP="00FA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A3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2A84D36A" w14:textId="77777777" w:rsidR="00FA3B22" w:rsidRPr="00FA3B22" w:rsidRDefault="00FA3B22" w:rsidP="00FA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A3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44AF4CA5" w14:textId="77777777" w:rsidR="00FA3B22" w:rsidRPr="00FA3B22" w:rsidRDefault="00FA3B22" w:rsidP="00FA3B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FA3B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FA3B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FA3B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FA3B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41C2631" w14:textId="7E4D342B" w:rsidR="00FA3B22" w:rsidRPr="00FA3B22" w:rsidRDefault="00FA3B22" w:rsidP="00FA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</w:t>
      </w:r>
      <w:r w:rsidRPr="00803A8A">
        <w:rPr>
          <w:rFonts w:ascii="Times New Roman" w:eastAsia="Times New Roman" w:hAnsi="Times New Roman" w:cs="Times New Roman"/>
          <w:sz w:val="26"/>
          <w:szCs w:val="26"/>
          <w:lang w:eastAsia="pl-PL"/>
        </w:rPr>
        <w:t>oferty wspólnie z innym/i wykonawcą/</w:t>
      </w:r>
      <w:proofErr w:type="spellStart"/>
      <w:r w:rsidRPr="00803A8A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803A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r w:rsidRPr="00803A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Przebudowa drogi powiatowej nr 1676K Lipnica Wielka -</w:t>
      </w:r>
      <w:proofErr w:type="spellStart"/>
      <w:r w:rsidRPr="00803A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Przywarówka</w:t>
      </w:r>
      <w:proofErr w:type="spellEnd"/>
      <w:r w:rsidRPr="00803A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km od 7+680 do km 8+800 w miejscowości Lipnica </w:t>
      </w:r>
      <w:r w:rsidRPr="00F208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Wielka</w:t>
      </w:r>
      <w:r w:rsidRPr="00F208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803A8A" w:rsidRPr="00F20817">
        <w:rPr>
          <w:rFonts w:ascii="Times New Roman" w:eastAsia="Times New Roman" w:hAnsi="Times New Roman" w:cs="Times New Roman"/>
          <w:sz w:val="26"/>
          <w:szCs w:val="26"/>
          <w:lang w:eastAsia="pl-PL"/>
        </w:rPr>
        <w:t>12.2023</w:t>
      </w:r>
      <w:r w:rsidRPr="00F2081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2081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F208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FA3B22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FA3B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A3B22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16F1EDE2" w14:textId="77777777" w:rsidR="00FA3B22" w:rsidRPr="00FA3B22" w:rsidRDefault="00FA3B22" w:rsidP="00FA3B22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3FC6E6" w14:textId="77777777" w:rsidR="00FA3B22" w:rsidRPr="00FA3B22" w:rsidRDefault="00FA3B22" w:rsidP="00FA3B22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BBE508D" w14:textId="77777777" w:rsidR="00FA3B22" w:rsidRPr="00FA3B22" w:rsidRDefault="00FA3B22" w:rsidP="00FA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B22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F2519C0" w14:textId="77777777" w:rsidR="00FA3B22" w:rsidRPr="00FA3B22" w:rsidRDefault="00FA3B22" w:rsidP="00FA3B22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FA3B22">
        <w:rPr>
          <w:rFonts w:ascii="Times New Roman" w:eastAsia="Calibri" w:hAnsi="Times New Roman" w:cs="Calibri"/>
        </w:rPr>
        <w:t>Oświadczenie sporządzane jako dokument elektroniczny</w:t>
      </w:r>
    </w:p>
    <w:p w14:paraId="3D599D23" w14:textId="77777777" w:rsidR="00FA3B22" w:rsidRPr="00FA3B22" w:rsidRDefault="00FA3B22" w:rsidP="00FA3B22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FA3B22">
        <w:rPr>
          <w:rFonts w:ascii="Times New Roman" w:eastAsia="Calibri" w:hAnsi="Times New Roman" w:cs="Calibri"/>
        </w:rPr>
        <w:t>Oświadczenie składane na wezwanie Zamawiającego</w:t>
      </w:r>
    </w:p>
    <w:p w14:paraId="31EE1F02" w14:textId="77777777" w:rsidR="00FA3B22" w:rsidRPr="00FA3B22" w:rsidRDefault="00FA3B22" w:rsidP="00FA3B2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7285AA8" w14:textId="77777777" w:rsidR="00FA3B22" w:rsidRPr="00FA3B22" w:rsidRDefault="00FA3B22" w:rsidP="00FA3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AAB16" w14:textId="77777777" w:rsidR="00FA3B22" w:rsidRPr="00FA3B22" w:rsidRDefault="00FA3B22" w:rsidP="00FA3B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A3B22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FA3B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B22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39F22C7B" w14:textId="77777777" w:rsidR="00FA3B22" w:rsidRPr="00FA3B22" w:rsidRDefault="00FA3B22" w:rsidP="00FA3B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A13B16" w14:textId="77777777" w:rsidR="00FA3B22" w:rsidRPr="00FA3B22" w:rsidRDefault="00FA3B22" w:rsidP="00FA3B2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3A2FC51A" w14:textId="77777777" w:rsidR="00FA3B22" w:rsidRPr="00FA3B22" w:rsidRDefault="00FA3B22" w:rsidP="00FA3B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B22">
        <w:rPr>
          <w:rFonts w:ascii="Times New Roman" w:eastAsia="Times New Roman" w:hAnsi="Times New Roman" w:cs="Times New Roman"/>
          <w:lang w:eastAsia="pl-PL"/>
        </w:rPr>
        <w:t>POUCZENIE:</w:t>
      </w:r>
    </w:p>
    <w:p w14:paraId="55A957DA" w14:textId="77777777" w:rsidR="00FA3B22" w:rsidRPr="00FA3B22" w:rsidRDefault="00FA3B22" w:rsidP="00FA3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A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A3B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C9C2521" w14:textId="77777777" w:rsidR="00FA3B22" w:rsidRPr="00FA3B22" w:rsidRDefault="00FA3B22" w:rsidP="00FA3B22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iCs/>
          <w:sz w:val="24"/>
          <w:szCs w:val="24"/>
        </w:rPr>
        <w:t xml:space="preserve">będącego osobą fizyczną, którego prawomocnie skazano za przestępstwo: </w:t>
      </w:r>
    </w:p>
    <w:p w14:paraId="6D494225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2E7B7982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>handlu ludźmi, o którym mowa w art. 189a Kodeksu karnego,</w:t>
      </w:r>
    </w:p>
    <w:p w14:paraId="51F131A3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</w:t>
      </w:r>
      <w:r w:rsidRPr="00FA3B22">
        <w:rPr>
          <w:rFonts w:ascii="Times New Roman" w:eastAsia="Calibri" w:hAnsi="Times New Roman" w:cs="Calibri"/>
          <w:i/>
          <w:sz w:val="24"/>
          <w:szCs w:val="24"/>
        </w:rPr>
        <w:lastRenderedPageBreak/>
        <w:t xml:space="preserve">środków spożywczych specjalnego przeznaczenia żywieniowego oraz wyrobów medycznych (Dz. U. z 2021 r. poz. 523, 1292, 1559 i 2054), </w:t>
      </w:r>
    </w:p>
    <w:p w14:paraId="2D0A2A02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9FA68DD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14:paraId="1695D3D5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0CEC5B70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627C8EFC" w14:textId="77777777" w:rsidR="00FA3B22" w:rsidRPr="00FA3B22" w:rsidRDefault="00FA3B22" w:rsidP="00FA3B22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F863555" w14:textId="77777777" w:rsidR="00FA3B22" w:rsidRPr="00FA3B22" w:rsidRDefault="00FA3B22" w:rsidP="00FA3B22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AB8EB46" w14:textId="77777777" w:rsidR="00FA3B22" w:rsidRPr="00FA3B22" w:rsidRDefault="00FA3B22" w:rsidP="00FA3B22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26BDC2" w14:textId="77777777" w:rsidR="00FA3B22" w:rsidRPr="00FA3B22" w:rsidRDefault="00FA3B22" w:rsidP="00FA3B22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wobec którego orzeczono zakaz ubiegania się o zamówienia publiczne; </w:t>
      </w:r>
    </w:p>
    <w:p w14:paraId="604AB9CE" w14:textId="77777777" w:rsidR="00FA3B22" w:rsidRPr="00FA3B22" w:rsidRDefault="00FA3B22" w:rsidP="00FA3B22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 </w:t>
      </w:r>
    </w:p>
    <w:p w14:paraId="2DC6F71E" w14:textId="77777777" w:rsidR="00FA3B22" w:rsidRPr="00F20817" w:rsidRDefault="00FA3B22" w:rsidP="00FA3B22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</w:rPr>
      </w:pPr>
      <w:r w:rsidRPr="00FA3B22">
        <w:rPr>
          <w:rFonts w:ascii="Times New Roman" w:eastAsia="Calibri" w:hAnsi="Times New Roman" w:cs="Calibri"/>
          <w:i/>
          <w:sz w:val="24"/>
          <w:szCs w:val="24"/>
        </w:rPr>
        <w:t xml:space="preserve">jeżeli, w przypadkach, o których mowa w art.85 ust.1 ustawy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Pr="00FA3B22">
        <w:rPr>
          <w:rFonts w:ascii="Times New Roman" w:eastAsia="Calibri" w:hAnsi="Times New Roman" w:cs="Calibri"/>
          <w:iCs/>
        </w:rPr>
        <w:t xml:space="preserve">– </w:t>
      </w:r>
      <w:r w:rsidRPr="00F20817">
        <w:rPr>
          <w:rFonts w:ascii="Times New Roman" w:eastAsia="Calibri" w:hAnsi="Times New Roman" w:cs="Calibri"/>
          <w:iCs/>
        </w:rPr>
        <w:t>art.108 ust.1 u</w:t>
      </w:r>
      <w:r w:rsidRPr="00F20817">
        <w:rPr>
          <w:rFonts w:ascii="Times New Roman" w:eastAsia="Calibri" w:hAnsi="Times New Roman" w:cs="Calibri"/>
        </w:rPr>
        <w:t>stawy z dnia 11 września 2019 r. – Prawo zamówień publicznych (tekst jedn. Dz.U. z 2022 r., poz.1710 ze zm.)</w:t>
      </w:r>
    </w:p>
    <w:p w14:paraId="37E26D49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FA3B22">
      <w:headerReference w:type="default" r:id="rId8"/>
      <w:pgSz w:w="11906" w:h="16838"/>
      <w:pgMar w:top="99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1751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7DB538C0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61A4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5DCCF89F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3436" w14:textId="7CBAC06F" w:rsidR="00FA3B22" w:rsidRPr="002B02C4" w:rsidRDefault="00FA3B22" w:rsidP="00FA3B22">
    <w:pPr>
      <w:pStyle w:val="Nagwek"/>
    </w:pPr>
  </w:p>
  <w:p w14:paraId="0D1EAD4C" w14:textId="3BA114B8" w:rsidR="00FA3B22" w:rsidRDefault="00803A8A" w:rsidP="00FA3B22">
    <w:pPr>
      <w:jc w:val="center"/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3231E247" wp14:editId="4765B093">
          <wp:simplePos x="0" y="0"/>
          <wp:positionH relativeFrom="margin">
            <wp:posOffset>4767580</wp:posOffset>
          </wp:positionH>
          <wp:positionV relativeFrom="margin">
            <wp:posOffset>-1432560</wp:posOffset>
          </wp:positionV>
          <wp:extent cx="989330" cy="647700"/>
          <wp:effectExtent l="0" t="0" r="1270" b="0"/>
          <wp:wrapSquare wrapText="bothSides"/>
          <wp:docPr id="1425611205" name="Obraz 1425611205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A59D25C" wp14:editId="71F705C4">
          <wp:simplePos x="0" y="0"/>
          <wp:positionH relativeFrom="margin">
            <wp:posOffset>2294255</wp:posOffset>
          </wp:positionH>
          <wp:positionV relativeFrom="margin">
            <wp:posOffset>-1436370</wp:posOffset>
          </wp:positionV>
          <wp:extent cx="542290" cy="593725"/>
          <wp:effectExtent l="0" t="0" r="0" b="0"/>
          <wp:wrapSquare wrapText="bothSides"/>
          <wp:docPr id="721332978" name="Obraz 721332978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46A59397" wp14:editId="351FBF32">
          <wp:simplePos x="0" y="0"/>
          <wp:positionH relativeFrom="margin">
            <wp:posOffset>0</wp:posOffset>
          </wp:positionH>
          <wp:positionV relativeFrom="margin">
            <wp:posOffset>-1428750</wp:posOffset>
          </wp:positionV>
          <wp:extent cx="969645" cy="647700"/>
          <wp:effectExtent l="0" t="0" r="1905" b="0"/>
          <wp:wrapSquare wrapText="bothSides"/>
          <wp:docPr id="2069275675" name="Obraz 2069275675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B007E" w14:textId="29804EBD" w:rsidR="00FA3B22" w:rsidRDefault="00FA3B22" w:rsidP="00FA3B22">
    <w:pPr>
      <w:rPr>
        <w:rFonts w:ascii="Times New Roman" w:hAnsi="Times New Roman" w:cs="Times New Roman"/>
        <w:sz w:val="18"/>
      </w:rPr>
    </w:pPr>
  </w:p>
  <w:p w14:paraId="4C385616" w14:textId="77777777" w:rsidR="00FA3B22" w:rsidRDefault="00FA3B22" w:rsidP="00FA3B22">
    <w:pPr>
      <w:pStyle w:val="Nagwek"/>
      <w:jc w:val="right"/>
      <w:rPr>
        <w:rFonts w:ascii="Times New Roman" w:hAnsi="Times New Roman" w:cs="Times New Roman"/>
        <w:sz w:val="18"/>
      </w:rPr>
    </w:pPr>
  </w:p>
  <w:p w14:paraId="7BF6E6BE" w14:textId="77777777" w:rsidR="00803A8A" w:rsidRDefault="00803A8A" w:rsidP="00FA3B22">
    <w:pPr>
      <w:pStyle w:val="Nagwek"/>
      <w:jc w:val="center"/>
      <w:rPr>
        <w:rFonts w:ascii="Times New Roman" w:hAnsi="Times New Roman" w:cs="Times New Roman"/>
        <w:sz w:val="18"/>
      </w:rPr>
    </w:pPr>
  </w:p>
  <w:p w14:paraId="0E7ED158" w14:textId="69E11BDD" w:rsidR="00FA3B22" w:rsidRPr="00AE4CAD" w:rsidRDefault="00FA3B22" w:rsidP="00FA3B22">
    <w:pPr>
      <w:pStyle w:val="Nagwek"/>
      <w:jc w:val="center"/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</w:pPr>
    <w:r w:rsidRPr="002B02C4">
      <w:rPr>
        <w:rFonts w:ascii="Times New Roman" w:hAnsi="Times New Roman" w:cs="Times New Roman"/>
        <w:sz w:val="18"/>
      </w:rPr>
      <w:t>„Europejski Fundusz Rolny na rzecz Rozwoju Obszarów Wiejskich: Europa inwestująca w obszary wiejskie”</w:t>
    </w:r>
  </w:p>
  <w:p w14:paraId="5C8C841A" w14:textId="09EAD6AF" w:rsidR="00B122E4" w:rsidRDefault="00B122E4" w:rsidP="00FA3B22">
    <w:pPr>
      <w:pStyle w:val="Nagwek"/>
    </w:pPr>
  </w:p>
  <w:p w14:paraId="5721EE93" w14:textId="3F4FACB2" w:rsidR="00803A8A" w:rsidRPr="00F20817" w:rsidRDefault="00803A8A" w:rsidP="00803A8A">
    <w:pPr>
      <w:pStyle w:val="Nagwek"/>
      <w:jc w:val="right"/>
      <w:rPr>
        <w:sz w:val="20"/>
        <w:szCs w:val="20"/>
      </w:rPr>
    </w:pPr>
    <w:r w:rsidRPr="00803A8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11 </w:t>
    </w:r>
    <w:r w:rsidRPr="00803A8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do </w:t>
    </w:r>
    <w:r w:rsidRPr="00F20817">
      <w:rPr>
        <w:rFonts w:ascii="Times New Roman" w:eastAsia="Times New Roman" w:hAnsi="Times New Roman" w:cs="Times New Roman"/>
        <w:sz w:val="20"/>
        <w:szCs w:val="20"/>
        <w:lang w:eastAsia="pl-PL"/>
      </w:rPr>
      <w:t>SWZ znak: PZD-ZP.261.12.2023</w:t>
    </w:r>
  </w:p>
  <w:p w14:paraId="52913AAD" w14:textId="77777777" w:rsidR="00803A8A" w:rsidRPr="00FA3B22" w:rsidRDefault="00803A8A" w:rsidP="00FA3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47367">
    <w:abstractNumId w:val="12"/>
  </w:num>
  <w:num w:numId="2" w16cid:durableId="1101218617">
    <w:abstractNumId w:val="9"/>
  </w:num>
  <w:num w:numId="3" w16cid:durableId="1457528396">
    <w:abstractNumId w:val="7"/>
  </w:num>
  <w:num w:numId="4" w16cid:durableId="134613986">
    <w:abstractNumId w:val="6"/>
  </w:num>
  <w:num w:numId="5" w16cid:durableId="255097243">
    <w:abstractNumId w:val="4"/>
  </w:num>
  <w:num w:numId="6" w16cid:durableId="438063996">
    <w:abstractNumId w:val="1"/>
  </w:num>
  <w:num w:numId="7" w16cid:durableId="1876038447">
    <w:abstractNumId w:val="8"/>
  </w:num>
  <w:num w:numId="8" w16cid:durableId="839348206">
    <w:abstractNumId w:val="13"/>
  </w:num>
  <w:num w:numId="9" w16cid:durableId="60835504">
    <w:abstractNumId w:val="10"/>
  </w:num>
  <w:num w:numId="10" w16cid:durableId="785541898">
    <w:abstractNumId w:val="3"/>
  </w:num>
  <w:num w:numId="11" w16cid:durableId="949972530">
    <w:abstractNumId w:val="0"/>
  </w:num>
  <w:num w:numId="12" w16cid:durableId="1479423640">
    <w:abstractNumId w:val="2"/>
  </w:num>
  <w:num w:numId="13" w16cid:durableId="668564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322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03A8A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20817"/>
    <w:rsid w:val="00F305EE"/>
    <w:rsid w:val="00F31EE3"/>
    <w:rsid w:val="00F87723"/>
    <w:rsid w:val="00FA11D4"/>
    <w:rsid w:val="00FA20C2"/>
    <w:rsid w:val="00FA3B2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1A9FE8"/>
  <w15:docId w15:val="{F221C0F6-5DB6-4CE5-8CFF-39C2C63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Powiat Nowotarski</cp:lastModifiedBy>
  <cp:revision>5</cp:revision>
  <cp:lastPrinted>2018-01-19T11:22:00Z</cp:lastPrinted>
  <dcterms:created xsi:type="dcterms:W3CDTF">2018-02-21T13:43:00Z</dcterms:created>
  <dcterms:modified xsi:type="dcterms:W3CDTF">2023-07-20T07:56:00Z</dcterms:modified>
</cp:coreProperties>
</file>