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4E81" w14:textId="4C2246B9" w:rsidR="007412C5" w:rsidRDefault="00976D61" w:rsidP="00881111">
      <w:pPr>
        <w:spacing w:line="319" w:lineRule="auto"/>
        <w:jc w:val="center"/>
        <w:rPr>
          <w:rFonts w:asciiTheme="majorHAnsi" w:hAnsiTheme="majorHAnsi" w:cstheme="majorHAnsi"/>
          <w:b/>
          <w:sz w:val="28"/>
          <w:szCs w:val="28"/>
        </w:rPr>
      </w:pPr>
      <w:r>
        <w:rPr>
          <w:noProof/>
        </w:rPr>
        <w:drawing>
          <wp:inline distT="0" distB="0" distL="0" distR="0" wp14:anchorId="5A000B03" wp14:editId="4EB349D5">
            <wp:extent cx="3194695" cy="106680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355" cy="1073365"/>
                    </a:xfrm>
                    <a:prstGeom prst="rect">
                      <a:avLst/>
                    </a:prstGeom>
                    <a:noFill/>
                    <a:ln>
                      <a:noFill/>
                    </a:ln>
                  </pic:spPr>
                </pic:pic>
              </a:graphicData>
            </a:graphic>
          </wp:inline>
        </w:drawing>
      </w:r>
    </w:p>
    <w:p w14:paraId="6CD24D6F" w14:textId="77777777" w:rsidR="00976D61" w:rsidRDefault="00976D61" w:rsidP="00881111">
      <w:pPr>
        <w:spacing w:line="319" w:lineRule="auto"/>
        <w:jc w:val="center"/>
        <w:rPr>
          <w:rFonts w:asciiTheme="majorHAnsi" w:hAnsiTheme="majorHAnsi" w:cstheme="majorHAnsi"/>
          <w:b/>
          <w:sz w:val="28"/>
          <w:szCs w:val="28"/>
        </w:rPr>
      </w:pPr>
    </w:p>
    <w:p w14:paraId="01F6BB13" w14:textId="3398F569" w:rsidR="00976D61" w:rsidRPr="00976D61" w:rsidRDefault="00976D61" w:rsidP="00881111">
      <w:pPr>
        <w:spacing w:line="319" w:lineRule="auto"/>
        <w:jc w:val="center"/>
        <w:rPr>
          <w:rFonts w:asciiTheme="majorHAnsi" w:hAnsiTheme="majorHAnsi" w:cstheme="majorHAnsi"/>
          <w:b/>
          <w:sz w:val="24"/>
          <w:szCs w:val="24"/>
        </w:rPr>
      </w:pPr>
      <w:r w:rsidRPr="00976D61">
        <w:rPr>
          <w:rFonts w:asciiTheme="majorHAnsi" w:hAnsiTheme="majorHAnsi" w:cstheme="majorHAnsi"/>
          <w:b/>
          <w:sz w:val="24"/>
          <w:szCs w:val="24"/>
        </w:rPr>
        <w:t>Zadanie dofinansowane z Rządowego Funduszu Rozwoju Dróg.</w:t>
      </w:r>
    </w:p>
    <w:p w14:paraId="6939C66E" w14:textId="77777777" w:rsidR="00976D61" w:rsidRDefault="00976D61" w:rsidP="00881111">
      <w:pPr>
        <w:spacing w:line="319" w:lineRule="auto"/>
        <w:jc w:val="center"/>
        <w:rPr>
          <w:rFonts w:asciiTheme="majorHAnsi" w:hAnsiTheme="majorHAnsi" w:cstheme="majorHAnsi"/>
          <w:b/>
          <w:sz w:val="28"/>
          <w:szCs w:val="28"/>
        </w:rPr>
      </w:pPr>
    </w:p>
    <w:p w14:paraId="5203FE3A" w14:textId="77777777" w:rsidR="00976D61" w:rsidRDefault="00976D61" w:rsidP="00881111">
      <w:pPr>
        <w:spacing w:line="319" w:lineRule="auto"/>
        <w:jc w:val="center"/>
        <w:rPr>
          <w:rFonts w:asciiTheme="majorHAnsi" w:hAnsiTheme="majorHAnsi" w:cstheme="majorHAnsi"/>
          <w:b/>
          <w:sz w:val="28"/>
          <w:szCs w:val="28"/>
        </w:rPr>
      </w:pPr>
    </w:p>
    <w:p w14:paraId="00000001" w14:textId="41A1EC41"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01C2C1C"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976D61">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976D61">
        <w:rPr>
          <w:rFonts w:asciiTheme="majorHAnsi" w:hAnsiTheme="majorHAnsi" w:cstheme="majorHAnsi"/>
        </w:rPr>
        <w:t>610</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C42A24">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1561A3F7" w14:textId="77777777" w:rsidR="00A10797" w:rsidRDefault="00A10797" w:rsidP="00C410BA">
            <w:pPr>
              <w:outlineLvl w:val="0"/>
              <w:rPr>
                <w:rFonts w:asciiTheme="majorHAnsi" w:eastAsia="Calibri" w:hAnsiTheme="majorHAnsi" w:cstheme="majorHAnsi"/>
                <w:b/>
                <w:kern w:val="3"/>
                <w:sz w:val="24"/>
                <w:szCs w:val="24"/>
              </w:rPr>
            </w:pPr>
            <w:r>
              <w:rPr>
                <w:rFonts w:asciiTheme="majorHAnsi" w:eastAsia="Calibri" w:hAnsiTheme="majorHAnsi" w:cstheme="majorHAnsi"/>
                <w:b/>
                <w:kern w:val="3"/>
                <w:sz w:val="24"/>
                <w:szCs w:val="24"/>
              </w:rPr>
              <w:t xml:space="preserve">                          </w:t>
            </w:r>
          </w:p>
          <w:p w14:paraId="35F3251A" w14:textId="7E3CD04E" w:rsidR="00AF03D2" w:rsidRPr="00C410BA" w:rsidRDefault="00A10797" w:rsidP="00C410BA">
            <w:pPr>
              <w:outlineLvl w:val="0"/>
              <w:rPr>
                <w:rFonts w:ascii="Cambria" w:hAnsi="Cambria"/>
                <w:b/>
                <w:i/>
                <w:iCs/>
                <w:szCs w:val="24"/>
              </w:rPr>
            </w:pPr>
            <w:r>
              <w:rPr>
                <w:rFonts w:asciiTheme="majorHAnsi" w:eastAsia="Calibri" w:hAnsiTheme="majorHAnsi" w:cstheme="majorHAnsi"/>
                <w:b/>
                <w:kern w:val="3"/>
                <w:sz w:val="24"/>
                <w:szCs w:val="24"/>
              </w:rPr>
              <w:t xml:space="preserve">                              REMONT ULICY SADOWEJ W KOBYLNIKACH</w:t>
            </w:r>
            <w:r w:rsidR="00976D61">
              <w:rPr>
                <w:rFonts w:asciiTheme="majorHAnsi" w:eastAsia="Calibri" w:hAnsiTheme="majorHAnsi" w:cstheme="majorHAnsi"/>
                <w:b/>
                <w:kern w:val="3"/>
                <w:sz w:val="24"/>
                <w:szCs w:val="24"/>
              </w:rPr>
              <w:t>.</w:t>
            </w:r>
            <w:r w:rsidR="00361680" w:rsidRPr="00C410BA">
              <w:rPr>
                <w:rFonts w:asciiTheme="majorHAnsi" w:eastAsia="Calibri" w:hAnsiTheme="majorHAnsi" w:cstheme="majorHAnsi"/>
                <w:b/>
                <w:kern w:val="3"/>
                <w:sz w:val="24"/>
                <w:szCs w:val="24"/>
              </w:rPr>
              <w:t xml:space="preserve">                                    </w:t>
            </w:r>
            <w:r w:rsidR="00E027B4" w:rsidRPr="00C410BA">
              <w:rPr>
                <w:rFonts w:asciiTheme="majorHAnsi" w:eastAsia="Calibri" w:hAnsiTheme="majorHAnsi" w:cstheme="majorHAnsi"/>
                <w:b/>
                <w:kern w:val="3"/>
                <w:sz w:val="24"/>
                <w:szCs w:val="24"/>
              </w:rPr>
              <w:t xml:space="preserve">                      </w:t>
            </w:r>
          </w:p>
          <w:p w14:paraId="2F6C9799" w14:textId="65A88795" w:rsidR="00AF03D2" w:rsidRPr="00073703" w:rsidRDefault="00AF03D2" w:rsidP="009E0ABF">
            <w:pPr>
              <w:spacing w:line="252" w:lineRule="auto"/>
              <w:jc w:val="both"/>
              <w:rPr>
                <w:rFonts w:ascii="Calibri" w:hAnsi="Calibri" w:cs="Calibri"/>
                <w:b/>
              </w:rPr>
            </w:pP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1058586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976D61">
        <w:rPr>
          <w:rFonts w:asciiTheme="majorHAnsi" w:hAnsiTheme="majorHAnsi" w:cstheme="majorHAnsi"/>
          <w:b/>
          <w:bCs/>
        </w:rPr>
        <w:t>1</w:t>
      </w:r>
      <w:r w:rsidR="006C5D5B">
        <w:rPr>
          <w:rFonts w:asciiTheme="majorHAnsi" w:hAnsiTheme="majorHAnsi" w:cstheme="majorHAnsi"/>
          <w:b/>
          <w:bCs/>
        </w:rPr>
        <w:t>3</w:t>
      </w:r>
      <w:r w:rsidRPr="00A258D6">
        <w:rPr>
          <w:rFonts w:asciiTheme="majorHAnsi" w:hAnsiTheme="majorHAnsi" w:cstheme="majorHAnsi"/>
          <w:b/>
          <w:bCs/>
        </w:rPr>
        <w:t>.202</w:t>
      </w:r>
      <w:r w:rsidR="00CB2AF5">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6F5B8B4" w14:textId="3B0F9FAE" w:rsidR="00541386" w:rsidRPr="00D03C9F" w:rsidRDefault="00976D61" w:rsidP="00096CC1">
      <w:pPr>
        <w:spacing w:line="319" w:lineRule="auto"/>
        <w:rPr>
          <w:rFonts w:asciiTheme="majorHAnsi" w:eastAsia="Times New Roman" w:hAnsiTheme="majorHAnsi" w:cstheme="majorHAnsi"/>
        </w:rPr>
      </w:pPr>
      <w:r>
        <w:rPr>
          <w:rFonts w:asciiTheme="majorHAnsi" w:eastAsia="Times New Roman" w:hAnsiTheme="majorHAnsi" w:cstheme="majorHAnsi"/>
        </w:rPr>
        <w:br/>
      </w:r>
      <w:r w:rsidR="00915904"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CB2AF5">
        <w:rPr>
          <w:rFonts w:asciiTheme="majorHAnsi" w:eastAsia="Times New Roman" w:hAnsiTheme="majorHAnsi" w:cstheme="majorHAnsi"/>
        </w:rPr>
        <w:t>3</w:t>
      </w:r>
      <w:r w:rsidR="008664B0" w:rsidRPr="00D03C9F">
        <w:rPr>
          <w:rFonts w:asciiTheme="majorHAnsi" w:eastAsia="Times New Roman" w:hAnsiTheme="majorHAnsi" w:cstheme="majorHAnsi"/>
        </w:rPr>
        <w:t>.</w:t>
      </w:r>
      <w:r>
        <w:rPr>
          <w:rFonts w:asciiTheme="majorHAnsi" w:eastAsia="Times New Roman" w:hAnsiTheme="majorHAnsi" w:cstheme="majorHAnsi"/>
        </w:rPr>
        <w:t>10.1</w:t>
      </w:r>
      <w:r w:rsidR="006C5D5B">
        <w:rPr>
          <w:rFonts w:asciiTheme="majorHAnsi" w:eastAsia="Times New Roman" w:hAnsiTheme="majorHAnsi" w:cstheme="majorHAnsi"/>
        </w:rPr>
        <w:t>7</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3EEC602A" w14:textId="2F463CAA" w:rsidR="00137E12" w:rsidRDefault="00137E12" w:rsidP="00096CC1">
      <w:pPr>
        <w:spacing w:line="319" w:lineRule="auto"/>
        <w:rPr>
          <w:rFonts w:asciiTheme="majorHAnsi" w:eastAsia="Times New Roman" w:hAnsiTheme="majorHAnsi" w:cstheme="majorHAnsi"/>
        </w:rPr>
      </w:pPr>
    </w:p>
    <w:p w14:paraId="34920F57" w14:textId="77777777" w:rsidR="00137E12" w:rsidRDefault="00137E12" w:rsidP="00096CC1">
      <w:pPr>
        <w:spacing w:line="319" w:lineRule="auto"/>
        <w:rPr>
          <w:rFonts w:asciiTheme="majorHAnsi" w:eastAsia="Times New Roman" w:hAnsiTheme="majorHAnsi" w:cstheme="majorHAnsi"/>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238857EC"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48175B">
        <w:rPr>
          <w:rFonts w:asciiTheme="majorHAnsi" w:hAnsiTheme="majorHAnsi" w:cstheme="majorHAnsi"/>
        </w:rPr>
        <w:t xml:space="preserve"> </w:t>
      </w:r>
      <w:hyperlink r:id="rId9" w:history="1">
        <w:r w:rsidR="0048175B" w:rsidRPr="00E623EB">
          <w:rPr>
            <w:rStyle w:val="Hipercze"/>
            <w:rFonts w:asciiTheme="majorHAnsi" w:hAnsiTheme="majorHAnsi" w:cstheme="majorHAnsi"/>
          </w:rPr>
          <w:t>https://platformazakupowa.pl/pn/rokietnica</w:t>
        </w:r>
      </w:hyperlink>
    </w:p>
    <w:bookmarkEnd w:id="3"/>
    <w:p w14:paraId="1A0A39C8" w14:textId="6BABA442"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48175B">
        <w:rPr>
          <w:rFonts w:asciiTheme="majorHAnsi" w:hAnsiTheme="majorHAnsi" w:cstheme="majorHAnsi"/>
        </w:rPr>
        <w:t xml:space="preserve">  </w:t>
      </w:r>
      <w:hyperlink r:id="rId10" w:history="1">
        <w:r w:rsidR="0048175B" w:rsidRPr="00E623EB">
          <w:rPr>
            <w:rStyle w:val="Hipercze"/>
            <w:rFonts w:asciiTheme="majorHAnsi" w:hAnsiTheme="majorHAnsi" w:cstheme="majorHAnsi"/>
          </w:rPr>
          <w:t>https://www.rokietnica.pl</w:t>
        </w:r>
      </w:hyperlink>
    </w:p>
    <w:p w14:paraId="086E79F9" w14:textId="257F49B6"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hyperlink r:id="rId11" w:history="1">
        <w:r w:rsidR="0048175B" w:rsidRPr="00E623EB">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7E149F7" w14:textId="17B8BEC6"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00976D61">
        <w:rPr>
          <w:rFonts w:asciiTheme="majorHAnsi" w:eastAsia="Times New Roman" w:hAnsiTheme="majorHAnsi" w:cstheme="majorHAnsi"/>
        </w:rPr>
        <w:br/>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w:t>
      </w:r>
      <w:r w:rsidR="00976D6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2B737E">
      <w:pPr>
        <w:numPr>
          <w:ilvl w:val="0"/>
          <w:numId w:val="17"/>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7B88766" w:rsidR="00BD4AC0" w:rsidRDefault="0088231F"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409F99D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w:t>
      </w:r>
      <w:r w:rsidR="0048175B">
        <w:rPr>
          <w:rFonts w:asciiTheme="majorHAnsi" w:eastAsia="Times New Roman" w:hAnsiTheme="majorHAnsi" w:cstheme="majorHAnsi"/>
        </w:rPr>
        <w:t xml:space="preserve"> </w:t>
      </w:r>
      <w:r w:rsidRPr="00A258D6">
        <w:rPr>
          <w:rFonts w:asciiTheme="majorHAnsi" w:eastAsia="Times New Roman" w:hAnsiTheme="majorHAnsi" w:cstheme="majorHAnsi"/>
        </w:rPr>
        <w:t xml:space="preserve">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B737E">
      <w:pPr>
        <w:numPr>
          <w:ilvl w:val="0"/>
          <w:numId w:val="13"/>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3"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6584431F"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2B737E">
      <w:pPr>
        <w:numPr>
          <w:ilvl w:val="0"/>
          <w:numId w:val="14"/>
        </w:numPr>
        <w:spacing w:line="319" w:lineRule="auto"/>
        <w:ind w:left="709" w:hanging="283"/>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Szacunkowa wartość przedmiotowego zamówienia nie przekracza progów unijnych o jakich mowa w art. 3 ustawy PZP.  </w:t>
      </w:r>
    </w:p>
    <w:p w14:paraId="00000067"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C" w14:textId="35B6CD7B" w:rsidR="001C5D72" w:rsidRPr="00CB2AF5" w:rsidRDefault="00FC4AB9" w:rsidP="00CB2AF5">
      <w:pPr>
        <w:spacing w:line="319" w:lineRule="auto"/>
        <w:jc w:val="both"/>
        <w:rPr>
          <w:rFonts w:asciiTheme="majorHAnsi" w:hAnsiTheme="majorHAnsi" w:cstheme="majorHAnsi"/>
        </w:rPr>
      </w:pPr>
      <w:r w:rsidRPr="00CB2AF5">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6116B3" w:rsidRPr="00CB2AF5">
        <w:rPr>
          <w:rFonts w:asciiTheme="majorHAnsi" w:hAnsiTheme="majorHAnsi" w:cstheme="majorHAnsi"/>
        </w:rPr>
        <w:t>wszystkie prace fizyczne opisane przedmiarem robót</w:t>
      </w:r>
      <w:r w:rsidR="00091CFF" w:rsidRPr="00CB2AF5">
        <w:rPr>
          <w:rFonts w:asciiTheme="majorHAnsi" w:hAnsiTheme="majorHAnsi" w:cstheme="majorHAnsi"/>
        </w:rPr>
        <w:t>,</w:t>
      </w:r>
    </w:p>
    <w:p w14:paraId="718FBDC0" w14:textId="75FF7F6A" w:rsidR="00C41890" w:rsidRPr="00A43881" w:rsidRDefault="00FC4AB9" w:rsidP="002B737E">
      <w:pPr>
        <w:numPr>
          <w:ilvl w:val="0"/>
          <w:numId w:val="15"/>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7A60131A" w14:textId="77777777" w:rsidR="004E3666" w:rsidRDefault="004E3666" w:rsidP="0048175B"/>
    <w:p w14:paraId="17395FEA" w14:textId="35819C35" w:rsidR="006C5D5B" w:rsidRDefault="006C5D5B" w:rsidP="006C5D5B">
      <w:pPr>
        <w:spacing w:line="360" w:lineRule="auto"/>
        <w:jc w:val="both"/>
        <w:rPr>
          <w:rFonts w:ascii="Calibri" w:hAnsi="Calibri"/>
        </w:rPr>
      </w:pPr>
      <w:r w:rsidRPr="00987D2B">
        <w:rPr>
          <w:rFonts w:ascii="Calibri" w:hAnsi="Calibri"/>
        </w:rPr>
        <w:t xml:space="preserve">Przedmiotem zamówienia jest </w:t>
      </w:r>
      <w:r>
        <w:rPr>
          <w:rFonts w:ascii="Calibri" w:hAnsi="Calibri"/>
        </w:rPr>
        <w:t>wykonanie remontu odcinka ul Sadowej w Kobylnikach – gm</w:t>
      </w:r>
      <w:r w:rsidR="002D3208">
        <w:rPr>
          <w:rFonts w:ascii="Calibri" w:hAnsi="Calibri"/>
        </w:rPr>
        <w:t>.</w:t>
      </w:r>
      <w:r>
        <w:rPr>
          <w:rFonts w:ascii="Calibri" w:hAnsi="Calibri"/>
        </w:rPr>
        <w:t xml:space="preserve"> Rokietnica, polegająca na wykonaniu poszerzenia istniejącej jezdni na  długości ok 997 </w:t>
      </w:r>
      <w:proofErr w:type="spellStart"/>
      <w:r>
        <w:rPr>
          <w:rFonts w:ascii="Calibri" w:hAnsi="Calibri"/>
        </w:rPr>
        <w:t>mb</w:t>
      </w:r>
      <w:proofErr w:type="spellEnd"/>
      <w:r>
        <w:rPr>
          <w:rFonts w:ascii="Calibri" w:hAnsi="Calibri"/>
        </w:rPr>
        <w:t>.</w:t>
      </w:r>
    </w:p>
    <w:p w14:paraId="0F2141DE" w14:textId="77777777" w:rsidR="006C5D5B" w:rsidRDefault="006C5D5B" w:rsidP="006C5D5B">
      <w:pPr>
        <w:spacing w:line="360" w:lineRule="auto"/>
        <w:jc w:val="both"/>
        <w:rPr>
          <w:rFonts w:ascii="Calibri" w:hAnsi="Calibri"/>
        </w:rPr>
      </w:pPr>
      <w:r>
        <w:rPr>
          <w:rFonts w:ascii="Calibri" w:hAnsi="Calibri"/>
        </w:rPr>
        <w:t>W ramach zadania należy wykonać rozbiórkę obecnego zdegradowanego pasa nawierzchni bitumicznej, wykonać warstwę podbudowy z kruszywa łamanego stabilizowanego mechanicznie gr 15cm, o szerokości średnio 1.5m, a następnie ułożyć warstwę ścieralną z betonu asfaltowego AC11S grubość 6cm, dostosowując spadki do istniejącej nawierzchni betonowej. Należy wykonać regulację zaworów wodociągowych i studni rewizyjnych</w:t>
      </w:r>
    </w:p>
    <w:p w14:paraId="09E89B6C" w14:textId="77777777" w:rsidR="006C5D5B" w:rsidRDefault="006C5D5B" w:rsidP="006C5D5B">
      <w:pPr>
        <w:spacing w:line="360" w:lineRule="auto"/>
        <w:jc w:val="both"/>
        <w:rPr>
          <w:rFonts w:ascii="Calibri" w:hAnsi="Calibri"/>
        </w:rPr>
      </w:pPr>
      <w:r>
        <w:rPr>
          <w:rFonts w:ascii="Calibri" w:hAnsi="Calibri"/>
        </w:rPr>
        <w:t xml:space="preserve">W ramach zadania należy także wykonać obustronne umocnienie poboczy kruszywem łamanym </w:t>
      </w:r>
    </w:p>
    <w:p w14:paraId="3B9F336F" w14:textId="77777777" w:rsidR="006C5D5B" w:rsidRPr="00364024" w:rsidRDefault="006C5D5B" w:rsidP="006C5D5B">
      <w:pPr>
        <w:spacing w:line="360" w:lineRule="auto"/>
        <w:jc w:val="both"/>
        <w:rPr>
          <w:rFonts w:ascii="Calibri" w:hAnsi="Calibri"/>
        </w:rPr>
      </w:pPr>
      <w:r>
        <w:rPr>
          <w:rFonts w:ascii="Calibri" w:hAnsi="Calibri"/>
        </w:rPr>
        <w:t>Szczegółowy z</w:t>
      </w:r>
      <w:r w:rsidRPr="00364024">
        <w:rPr>
          <w:rFonts w:ascii="Calibri" w:hAnsi="Calibri"/>
        </w:rPr>
        <w:t>akres został oznaczony na planie orientacyjnym.</w:t>
      </w:r>
    </w:p>
    <w:p w14:paraId="2482F99F" w14:textId="77777777" w:rsidR="004E3666" w:rsidRDefault="004E3666" w:rsidP="0048175B"/>
    <w:p w14:paraId="5BF5DD07" w14:textId="7ABC68B9" w:rsidR="0048175B" w:rsidRDefault="0048175B" w:rsidP="0048175B">
      <w:r>
        <w:t>UWAGI:</w:t>
      </w:r>
    </w:p>
    <w:p w14:paraId="022D402C" w14:textId="77777777" w:rsidR="0048175B" w:rsidRDefault="0048175B" w:rsidP="0048175B">
      <w:pPr>
        <w:pStyle w:val="Akapitzlist"/>
        <w:numPr>
          <w:ilvl w:val="0"/>
          <w:numId w:val="31"/>
        </w:numPr>
        <w:spacing w:before="100"/>
      </w:pPr>
      <w:r w:rsidRPr="00234F2B">
        <w:t>Wykonawca będzie zobowiązany do zapoznania się z treścią oraz stosowania wytycznych Zarządzenia nr RO.0050.29.2023</w:t>
      </w:r>
      <w:r>
        <w:t xml:space="preserve"> </w:t>
      </w:r>
      <w:r w:rsidRPr="00234F2B">
        <w:t>Wójta Gminy Rokietnica z dnia 13.02.2023 r.</w:t>
      </w:r>
      <w:r>
        <w:t xml:space="preserve"> </w:t>
      </w:r>
      <w:r w:rsidRPr="00234F2B">
        <w:t>w sprawie ochrony drzew i rozwoju terenów zieleni na terenie Gminy Rokietnica.</w:t>
      </w: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4DC5971A" w14:textId="0DEB9A38" w:rsidR="00647399" w:rsidRPr="007B1BA7" w:rsidRDefault="001E2D28" w:rsidP="008B2703">
      <w:pPr>
        <w:spacing w:after="200"/>
        <w:rPr>
          <w:rFonts w:asciiTheme="majorHAnsi" w:hAnsiTheme="majorHAnsi" w:cstheme="majorHAnsi"/>
          <w:color w:val="000000"/>
          <w:kern w:val="3"/>
        </w:rPr>
      </w:pPr>
      <w:r w:rsidRPr="001E2D28">
        <w:rPr>
          <w:rFonts w:ascii="Calibri" w:eastAsia="Calibri" w:hAnsi="Calibri"/>
          <w:lang w:eastAsia="en-US"/>
        </w:rPr>
        <w:t xml:space="preserve">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w:t>
      </w:r>
      <w:r w:rsidRPr="001E2D28">
        <w:rPr>
          <w:rFonts w:ascii="Calibri" w:eastAsia="Calibri" w:hAnsi="Calibri"/>
          <w:lang w:eastAsia="en-US"/>
        </w:rPr>
        <w:lastRenderedPageBreak/>
        <w:t>kosztorys ofertowy   przed  podpisaniem umowy .</w:t>
      </w:r>
      <w:r w:rsidR="008B2703">
        <w:rPr>
          <w:rFonts w:ascii="Calibri" w:eastAsia="Calibri" w:hAnsi="Calibri"/>
          <w:lang w:eastAsia="en-US"/>
        </w:rPr>
        <w:br/>
      </w:r>
      <w:r w:rsidR="008B2703">
        <w:rPr>
          <w:rFonts w:asciiTheme="majorHAnsi" w:hAnsiTheme="majorHAnsi" w:cstheme="majorHAnsi"/>
          <w:b/>
          <w:bCs/>
        </w:rPr>
        <w:br/>
      </w:r>
      <w:r w:rsidR="00F332E0"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r w:rsidR="008B2703">
        <w:rPr>
          <w:rFonts w:asciiTheme="majorHAnsi" w:hAnsiTheme="majorHAnsi" w:cstheme="majorHAnsi"/>
        </w:rPr>
        <w:br/>
      </w:r>
      <w:r w:rsidR="008B2703">
        <w:rPr>
          <w:rFonts w:asciiTheme="majorHAnsi" w:hAnsiTheme="majorHAnsi" w:cstheme="majorHAnsi"/>
          <w:color w:val="000000"/>
          <w:kern w:val="3"/>
        </w:rPr>
        <w:t xml:space="preserve">45.23.31.40.2 </w:t>
      </w:r>
      <w:r w:rsidR="004E3666">
        <w:rPr>
          <w:rFonts w:asciiTheme="majorHAnsi" w:hAnsiTheme="majorHAnsi" w:cstheme="majorHAnsi"/>
          <w:color w:val="000000"/>
          <w:kern w:val="3"/>
        </w:rPr>
        <w:t xml:space="preserve"> </w:t>
      </w:r>
      <w:r w:rsidR="008B2703">
        <w:rPr>
          <w:rFonts w:asciiTheme="majorHAnsi" w:hAnsiTheme="majorHAnsi" w:cstheme="majorHAnsi"/>
          <w:color w:val="000000"/>
          <w:kern w:val="3"/>
        </w:rPr>
        <w:t>– roboty drogowe,</w:t>
      </w:r>
      <w:r w:rsidR="008B2703">
        <w:rPr>
          <w:rFonts w:asciiTheme="majorHAnsi" w:hAnsiTheme="majorHAnsi" w:cstheme="majorHAnsi"/>
          <w:color w:val="000000"/>
          <w:kern w:val="3"/>
        </w:rPr>
        <w:br/>
        <w:t>45.23.32</w:t>
      </w:r>
      <w:r w:rsidR="004E3666">
        <w:rPr>
          <w:rFonts w:asciiTheme="majorHAnsi" w:hAnsiTheme="majorHAnsi" w:cstheme="majorHAnsi"/>
          <w:color w:val="000000"/>
          <w:kern w:val="3"/>
        </w:rPr>
        <w:t>.</w:t>
      </w:r>
      <w:r w:rsidR="008B2703">
        <w:rPr>
          <w:rFonts w:asciiTheme="majorHAnsi" w:hAnsiTheme="majorHAnsi" w:cstheme="majorHAnsi"/>
          <w:color w:val="000000"/>
          <w:kern w:val="3"/>
        </w:rPr>
        <w:t xml:space="preserve">20.7 </w:t>
      </w:r>
      <w:r w:rsidR="004E3666">
        <w:rPr>
          <w:rFonts w:asciiTheme="majorHAnsi" w:hAnsiTheme="majorHAnsi" w:cstheme="majorHAnsi"/>
          <w:color w:val="000000"/>
          <w:kern w:val="3"/>
        </w:rPr>
        <w:t xml:space="preserve">  </w:t>
      </w:r>
      <w:r w:rsidR="008B2703">
        <w:rPr>
          <w:rFonts w:asciiTheme="majorHAnsi" w:hAnsiTheme="majorHAnsi" w:cstheme="majorHAnsi"/>
          <w:color w:val="000000"/>
          <w:kern w:val="3"/>
        </w:rPr>
        <w:t xml:space="preserve">– roboty w zakresie nawierzchni </w:t>
      </w:r>
      <w:r w:rsidR="004E3666">
        <w:rPr>
          <w:rFonts w:asciiTheme="majorHAnsi" w:hAnsiTheme="majorHAnsi" w:cstheme="majorHAnsi"/>
          <w:color w:val="000000"/>
          <w:kern w:val="3"/>
        </w:rPr>
        <w:t>d</w:t>
      </w:r>
      <w:r w:rsidR="008B2703">
        <w:rPr>
          <w:rFonts w:asciiTheme="majorHAnsi" w:hAnsiTheme="majorHAnsi" w:cstheme="majorHAnsi"/>
          <w:color w:val="000000"/>
          <w:kern w:val="3"/>
        </w:rPr>
        <w:t>róg</w:t>
      </w:r>
      <w:r w:rsidR="004E3666">
        <w:rPr>
          <w:rFonts w:asciiTheme="majorHAnsi" w:hAnsiTheme="majorHAnsi" w:cstheme="majorHAnsi"/>
          <w:color w:val="000000"/>
          <w:kern w:val="3"/>
        </w:rPr>
        <w:t>,</w:t>
      </w:r>
      <w:r w:rsidR="004E3666">
        <w:rPr>
          <w:rFonts w:asciiTheme="majorHAnsi" w:hAnsiTheme="majorHAnsi" w:cstheme="majorHAnsi"/>
          <w:color w:val="000000"/>
          <w:kern w:val="3"/>
        </w:rPr>
        <w:br/>
        <w:t xml:space="preserve">45.23.31.42 .6  -  roboty w zakresie naprawy dróg </w:t>
      </w:r>
    </w:p>
    <w:p w14:paraId="4F5C1042" w14:textId="79C2E9C6" w:rsidR="0045658C" w:rsidRPr="00C71C19" w:rsidRDefault="00F332E0" w:rsidP="00CD4D64">
      <w:pPr>
        <w:spacing w:line="319" w:lineRule="auto"/>
        <w:rPr>
          <w:rFonts w:asciiTheme="majorHAnsi" w:hAnsiTheme="majorHAnsi" w:cstheme="majorHAnsi"/>
        </w:rPr>
      </w:pPr>
      <w:bookmarkStart w:id="8" w:name="_Hlk66442564"/>
      <w:r w:rsidRPr="00FA3A10">
        <w:rPr>
          <w:rFonts w:asciiTheme="majorHAnsi" w:hAnsiTheme="majorHAnsi" w:cstheme="majorHAnsi"/>
          <w:b/>
          <w:bCs/>
        </w:rPr>
        <w:t>5</w:t>
      </w:r>
      <w:r>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641314AA" w14:textId="77777777" w:rsidR="00187325" w:rsidRPr="00187325" w:rsidRDefault="00187325" w:rsidP="00187325">
      <w:pPr>
        <w:autoSpaceDE w:val="0"/>
        <w:autoSpaceDN w:val="0"/>
        <w:adjustRightInd w:val="0"/>
        <w:ind w:right="-284"/>
        <w:jc w:val="both"/>
        <w:rPr>
          <w:rFonts w:asciiTheme="majorHAnsi" w:hAnsiTheme="majorHAnsi" w:cstheme="majorHAnsi"/>
        </w:rPr>
      </w:pPr>
      <w:r w:rsidRPr="00187325">
        <w:rPr>
          <w:rFonts w:asciiTheme="majorHAnsi" w:hAnsiTheme="majorHAnsi" w:cstheme="majorHAnsi"/>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Zgodnie z treścią motywu 78 dyrektywy, Instytucja zamawiająca powinna mieć obowiązek rozważenia celowości podziału zamówień na części, </w:t>
      </w:r>
      <w:r w:rsidRPr="00187325">
        <w:rPr>
          <w:rFonts w:asciiTheme="majorHAnsi" w:hAnsiTheme="majorHAnsi" w:cstheme="majorHAnsi"/>
        </w:rPr>
        <w:t>jednocześnie zachowując swobodę autonomicznego podejmowania decyzji na każdej podstawie, jaką uzna za stosowną, nie podlegając nadzorowi administracyjnemu ani sądowemu.</w:t>
      </w:r>
    </w:p>
    <w:p w14:paraId="1BBDF265" w14:textId="4B8E93A9" w:rsidR="00187325" w:rsidRPr="00187325" w:rsidRDefault="00187325" w:rsidP="00187325">
      <w:pPr>
        <w:pStyle w:val="Bezodstpw"/>
        <w:spacing w:line="360" w:lineRule="auto"/>
        <w:ind w:right="-284"/>
        <w:jc w:val="both"/>
        <w:rPr>
          <w:rFonts w:asciiTheme="majorHAnsi" w:hAnsiTheme="majorHAnsi" w:cstheme="majorHAnsi"/>
        </w:rPr>
      </w:pPr>
      <w:r w:rsidRPr="00187325">
        <w:rPr>
          <w:rFonts w:asciiTheme="majorHAnsi" w:eastAsia="Times New Roman" w:hAnsiTheme="majorHAnsi" w:cstheme="majorHAnsi"/>
          <w:lang w:eastAsia="ar-SA"/>
        </w:rPr>
        <w:t>Ponadto, podział zamówienia na części groziłby nadmiernymi trudnościami technicznymi. także udzieloną gwarancję. Brak podziału zamówienia na części pozwoli otrzymać jedną gwarancję na cały przedmiot zamówienia. Brak podziału zamówienia na części nie naruszy konkurencji poprzez ograniczenie możliwości ubiegania  się o zamówienie mniejszym podmiotom, w szczególności małym i średnim  przedsiębiorstwom.</w:t>
      </w:r>
    </w:p>
    <w:p w14:paraId="057A3F1A" w14:textId="03D0A563"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53BF559E" w:rsidR="00471433" w:rsidRDefault="00632910" w:rsidP="006E3414">
      <w:pPr>
        <w:tabs>
          <w:tab w:val="left" w:pos="284"/>
        </w:tabs>
        <w:spacing w:line="319" w:lineRule="auto"/>
        <w:jc w:val="both"/>
        <w:rPr>
          <w:rFonts w:asciiTheme="majorHAnsi" w:hAnsiTheme="majorHAnsi" w:cstheme="majorHAnsi"/>
        </w:rPr>
      </w:pPr>
      <w:r>
        <w:rPr>
          <w:rFonts w:asciiTheme="majorHAnsi" w:hAnsiTheme="majorHAnsi" w:cstheme="majorHAnsi"/>
        </w:rPr>
        <w:lastRenderedPageBreak/>
        <w:t xml:space="preserve">9.  </w:t>
      </w:r>
      <w:r w:rsidR="005256B5">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CD4D64">
        <w:rPr>
          <w:rFonts w:asciiTheme="majorHAnsi" w:hAnsiTheme="majorHAnsi" w:cstheme="majorHAnsi"/>
        </w:rPr>
        <w:t xml:space="preserve"> </w:t>
      </w:r>
      <w:r w:rsidR="005256B5">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p>
    <w:p w14:paraId="05DB88E0" w14:textId="06009DCF" w:rsidR="00632910" w:rsidRPr="006E3414" w:rsidRDefault="00632910" w:rsidP="006E3414">
      <w:pPr>
        <w:tabs>
          <w:tab w:val="left" w:pos="284"/>
        </w:tabs>
        <w:spacing w:line="319" w:lineRule="auto"/>
        <w:jc w:val="both"/>
        <w:rPr>
          <w:rFonts w:asciiTheme="majorHAnsi" w:hAnsiTheme="majorHAnsi" w:cstheme="majorHAnsi"/>
        </w:rPr>
      </w:pPr>
      <w:r w:rsidRPr="00E20388">
        <w:rPr>
          <w:rFonts w:asciiTheme="majorHAnsi" w:hAnsiTheme="majorHAnsi" w:cstheme="majorHAnsi"/>
          <w:b/>
          <w:bCs/>
        </w:rPr>
        <w:t>10</w:t>
      </w:r>
      <w:r>
        <w:rPr>
          <w:rFonts w:asciiTheme="majorHAnsi" w:hAnsiTheme="majorHAnsi" w:cstheme="majorHAnsi"/>
        </w:rPr>
        <w:t xml:space="preserve">. </w:t>
      </w:r>
      <w:r w:rsidRPr="00632910">
        <w:rPr>
          <w:rFonts w:asciiTheme="majorHAnsi" w:hAnsiTheme="majorHAnsi" w:cstheme="majorHAnsi"/>
        </w:rPr>
        <w:t xml:space="preserve">Przedmiot zamówienia nie obejmuje wymagań w zakresie dostępności dla osób niepełnosprawnych oraz z przeznaczeniem dla wszystkich użytkowników. </w:t>
      </w:r>
      <w:r>
        <w:rPr>
          <w:rFonts w:asciiTheme="majorHAnsi" w:hAnsiTheme="majorHAnsi" w:cstheme="majorHAnsi"/>
        </w:rPr>
        <w:t>Roboty</w:t>
      </w:r>
      <w:r w:rsidRPr="00632910">
        <w:rPr>
          <w:rFonts w:asciiTheme="majorHAnsi" w:hAnsiTheme="majorHAnsi" w:cstheme="majorHAnsi"/>
        </w:rPr>
        <w:t xml:space="preserve"> będące przedmiotem zamówienia  stanowią odpowiedź na zapotrzebowanie konkretnych użytkowników , którzy nie wykazali szczególnych potrzeb w zakresie dostępności dla osób niepełnosprawnych, Wobec powyższego odstępuje się  od uwzględnienia wymagań w zakresie dostępności dla osób niepełnosprawnych, zgodnie z art.100 ustawy </w:t>
      </w:r>
      <w:proofErr w:type="spellStart"/>
      <w:r w:rsidRPr="00632910">
        <w:rPr>
          <w:rFonts w:asciiTheme="majorHAnsi" w:hAnsiTheme="majorHAnsi" w:cstheme="majorHAnsi"/>
        </w:rPr>
        <w:t>Pzp</w:t>
      </w:r>
      <w:proofErr w:type="spellEnd"/>
      <w:r w:rsidRPr="00632910">
        <w:rPr>
          <w:rFonts w:asciiTheme="majorHAnsi" w:hAnsiTheme="majorHAnsi" w:cstheme="majorHAnsi"/>
        </w:rPr>
        <w:t>.</w:t>
      </w:r>
    </w:p>
    <w:p w14:paraId="00000078" w14:textId="2889C169" w:rsidR="001C5D72" w:rsidRPr="0039496C" w:rsidRDefault="00E20388"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0"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EC1943" w:rsidRDefault="00FC4AB9" w:rsidP="002B737E">
      <w:pPr>
        <w:pStyle w:val="Akapitzlist"/>
        <w:numPr>
          <w:ilvl w:val="0"/>
          <w:numId w:val="5"/>
        </w:numPr>
        <w:spacing w:after="0" w:line="240" w:lineRule="auto"/>
        <w:jc w:val="both"/>
        <w:rPr>
          <w:rFonts w:asciiTheme="majorHAnsi" w:hAnsiTheme="majorHAnsi" w:cstheme="majorHAnsi"/>
          <w:color w:val="C00000"/>
          <w:sz w:val="24"/>
          <w:szCs w:val="24"/>
        </w:rPr>
      </w:pPr>
      <w:r w:rsidRPr="00EC1943">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C1943">
        <w:rPr>
          <w:rFonts w:asciiTheme="majorHAnsi" w:hAnsiTheme="majorHAnsi" w:cstheme="majorHAnsi"/>
        </w:rPr>
        <w:t>w</w:t>
      </w:r>
      <w:r w:rsidRPr="00EC1943">
        <w:rPr>
          <w:rFonts w:asciiTheme="majorHAnsi" w:hAnsiTheme="majorHAnsi" w:cstheme="majorHAnsi"/>
        </w:rPr>
        <w:t>ykonawcó</w:t>
      </w:r>
      <w:r w:rsidR="00C41890" w:rsidRPr="00EC1943">
        <w:rPr>
          <w:rFonts w:asciiTheme="majorHAnsi" w:hAnsiTheme="majorHAnsi" w:cstheme="majorHAnsi"/>
        </w:rPr>
        <w:t>w.</w:t>
      </w:r>
      <w:bookmarkStart w:id="11" w:name="_Toc65495852"/>
      <w:r w:rsidR="00FB5323" w:rsidRPr="00EC1943">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69B4BF59" w14:textId="13B1309C" w:rsidR="00404CFB" w:rsidRPr="00723D38" w:rsidRDefault="00404CFB" w:rsidP="0002775B">
      <w:pPr>
        <w:pStyle w:val="Akapitzlist"/>
        <w:spacing w:after="0" w:line="240" w:lineRule="auto"/>
        <w:ind w:left="0"/>
        <w:jc w:val="both"/>
        <w:rPr>
          <w:rFonts w:asciiTheme="majorHAnsi" w:hAnsiTheme="majorHAnsi" w:cstheme="majorHAnsi"/>
          <w:color w:val="FF0000"/>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t>
      </w:r>
      <w:r w:rsidRPr="008B2703">
        <w:rPr>
          <w:rFonts w:asciiTheme="majorHAnsi" w:hAnsiTheme="majorHAnsi" w:cstheme="majorHAnsi"/>
          <w:sz w:val="24"/>
          <w:szCs w:val="24"/>
        </w:rPr>
        <w:t xml:space="preserve">wynosi </w:t>
      </w:r>
      <w:r w:rsidR="00632910" w:rsidRPr="008B2703">
        <w:rPr>
          <w:rFonts w:asciiTheme="majorHAnsi" w:hAnsiTheme="majorHAnsi" w:cstheme="majorHAnsi"/>
          <w:sz w:val="24"/>
          <w:szCs w:val="24"/>
        </w:rPr>
        <w:t xml:space="preserve"> </w:t>
      </w:r>
      <w:r w:rsidR="006C5D5B">
        <w:rPr>
          <w:rFonts w:asciiTheme="majorHAnsi" w:hAnsiTheme="majorHAnsi" w:cstheme="majorHAnsi"/>
          <w:sz w:val="24"/>
          <w:szCs w:val="24"/>
        </w:rPr>
        <w:t>6</w:t>
      </w:r>
      <w:r w:rsidR="00632910" w:rsidRPr="006C5D5B">
        <w:rPr>
          <w:rFonts w:asciiTheme="majorHAnsi" w:hAnsiTheme="majorHAnsi" w:cstheme="majorHAnsi"/>
          <w:sz w:val="24"/>
          <w:szCs w:val="24"/>
        </w:rPr>
        <w:t xml:space="preserve"> m-</w:t>
      </w:r>
      <w:proofErr w:type="spellStart"/>
      <w:r w:rsidR="00632910" w:rsidRPr="006C5D5B">
        <w:rPr>
          <w:rFonts w:asciiTheme="majorHAnsi" w:hAnsiTheme="majorHAnsi" w:cstheme="majorHAnsi"/>
          <w:sz w:val="24"/>
          <w:szCs w:val="24"/>
        </w:rPr>
        <w:t>c</w:t>
      </w:r>
      <w:r w:rsidR="006C5D5B">
        <w:rPr>
          <w:rFonts w:asciiTheme="majorHAnsi" w:hAnsiTheme="majorHAnsi" w:cstheme="majorHAnsi"/>
          <w:sz w:val="24"/>
          <w:szCs w:val="24"/>
        </w:rPr>
        <w:t>y</w:t>
      </w:r>
      <w:proofErr w:type="spellEnd"/>
      <w:r w:rsidR="00632910" w:rsidRPr="006C5D5B">
        <w:rPr>
          <w:rFonts w:asciiTheme="majorHAnsi" w:hAnsiTheme="majorHAnsi" w:cstheme="majorHAnsi"/>
          <w:sz w:val="24"/>
          <w:szCs w:val="24"/>
        </w:rPr>
        <w:t xml:space="preserve"> </w:t>
      </w:r>
      <w:r w:rsidRPr="006C5D5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2" w:name="_Toc65495853"/>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2B737E">
      <w:pPr>
        <w:numPr>
          <w:ilvl w:val="0"/>
          <w:numId w:val="24"/>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2B737E">
      <w:pPr>
        <w:numPr>
          <w:ilvl w:val="0"/>
          <w:numId w:val="24"/>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2B737E">
      <w:pPr>
        <w:numPr>
          <w:ilvl w:val="0"/>
          <w:numId w:val="25"/>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2B737E">
      <w:pPr>
        <w:numPr>
          <w:ilvl w:val="0"/>
          <w:numId w:val="26"/>
        </w:numPr>
        <w:ind w:left="868" w:right="20" w:hanging="426"/>
        <w:jc w:val="both"/>
        <w:rPr>
          <w:rFonts w:ascii="Calibri" w:eastAsia="Calibri" w:hAnsi="Calibri" w:cs="Calibri"/>
          <w:sz w:val="24"/>
        </w:rPr>
      </w:pPr>
      <w:r>
        <w:rPr>
          <w:rFonts w:ascii="Calibri" w:eastAsia="Calibri" w:hAnsi="Calibri" w:cs="Calibri"/>
          <w:b/>
          <w:sz w:val="24"/>
        </w:rPr>
        <w:lastRenderedPageBreak/>
        <w:t>sytuacji ekonomicznej lub finansowej:</w:t>
      </w:r>
    </w:p>
    <w:p w14:paraId="6032E329" w14:textId="1717B573" w:rsidR="00C27275" w:rsidRDefault="007D53D0" w:rsidP="002B737E">
      <w:pPr>
        <w:numPr>
          <w:ilvl w:val="0"/>
          <w:numId w:val="26"/>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4D88C252" w14:textId="4270A4D7" w:rsidR="002F1F88"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r w:rsidR="002F1F88">
        <w:rPr>
          <w:rFonts w:ascii="Calibri" w:eastAsia="Calibri" w:hAnsi="Calibri" w:cs="Calibri"/>
          <w:b/>
          <w:sz w:val="24"/>
        </w:rPr>
        <w:t xml:space="preserve">         </w:t>
      </w:r>
    </w:p>
    <w:p w14:paraId="3E47B139" w14:textId="6DAC9576" w:rsidR="002F1F88" w:rsidRPr="002F1F88" w:rsidRDefault="002F1F88" w:rsidP="002F1F88">
      <w:pPr>
        <w:pStyle w:val="Akapitzlist"/>
        <w:spacing w:line="360" w:lineRule="auto"/>
        <w:jc w:val="both"/>
        <w:rPr>
          <w:rFonts w:cs="Calibri"/>
          <w:bCs/>
          <w:sz w:val="24"/>
        </w:rPr>
      </w:pPr>
      <w:r w:rsidRPr="002F1F88">
        <w:rPr>
          <w:rFonts w:cs="Calibri"/>
          <w:bCs/>
          <w:sz w:val="24"/>
        </w:rPr>
        <w:t xml:space="preserve">  Zamawiający nie określa warunku </w:t>
      </w:r>
      <w:r>
        <w:rPr>
          <w:rFonts w:cs="Calibri"/>
          <w:bCs/>
          <w:sz w:val="24"/>
        </w:rPr>
        <w:t>w powyższym zakresie.</w:t>
      </w:r>
      <w:r w:rsidR="00F62D2F" w:rsidRPr="002F1F88">
        <w:rPr>
          <w:rFonts w:cs="Calibri"/>
          <w:bCs/>
          <w:sz w:val="24"/>
        </w:rPr>
        <w:t xml:space="preserve">  </w:t>
      </w:r>
    </w:p>
    <w:p w14:paraId="0000008F" w14:textId="10EEB313" w:rsidR="001C5D72" w:rsidRPr="0039496C" w:rsidRDefault="00DE7695" w:rsidP="002F1F88">
      <w:pPr>
        <w:pStyle w:val="Akapitzlist"/>
        <w:spacing w:line="360" w:lineRule="auto"/>
        <w:jc w:val="both"/>
        <w:rPr>
          <w:rFonts w:asciiTheme="majorHAnsi" w:hAnsiTheme="majorHAnsi" w:cstheme="majorHAnsi"/>
          <w:b/>
          <w:bCs/>
          <w:sz w:val="24"/>
          <w:szCs w:val="24"/>
        </w:rPr>
      </w:pPr>
      <w:r w:rsidRPr="002F1F88">
        <w:rPr>
          <w:rFonts w:cs="Calibri"/>
          <w:bCs/>
          <w:color w:val="000000"/>
        </w:rPr>
        <w:br/>
      </w:r>
      <w:bookmarkStart w:id="14" w:name="_Toc65495854"/>
      <w:r w:rsidR="00273251" w:rsidRPr="0039496C">
        <w:rPr>
          <w:rFonts w:asciiTheme="majorHAnsi" w:hAnsiTheme="majorHAnsi" w:cstheme="majorHAnsi"/>
          <w:b/>
          <w:bCs/>
          <w:sz w:val="24"/>
          <w:szCs w:val="24"/>
        </w:rPr>
        <w:t>IX. PODSTAWY WYKLUCZENIA Z POSTĘPOWANIA</w:t>
      </w:r>
      <w:bookmarkEnd w:id="14"/>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w:t>
      </w:r>
      <w:r w:rsidRPr="00146FB3">
        <w:rPr>
          <w:rFonts w:asciiTheme="majorHAnsi" w:eastAsia="Times New Roman" w:hAnsiTheme="majorHAnsi" w:cstheme="majorHAnsi"/>
        </w:rPr>
        <w:lastRenderedPageBreak/>
        <w:t>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2B737E">
      <w:pPr>
        <w:pStyle w:val="Akapitzlist"/>
        <w:numPr>
          <w:ilvl w:val="0"/>
          <w:numId w:val="27"/>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lastRenderedPageBreak/>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3FDB7977" w14:textId="77777777" w:rsidR="00CD4D64" w:rsidRPr="00CD4D64" w:rsidRDefault="00C27275" w:rsidP="002B737E">
      <w:pPr>
        <w:pStyle w:val="Akapitzlist"/>
        <w:numPr>
          <w:ilvl w:val="3"/>
          <w:numId w:val="27"/>
        </w:numPr>
        <w:tabs>
          <w:tab w:val="left" w:pos="426"/>
        </w:tabs>
        <w:spacing w:after="120"/>
        <w:ind w:left="0" w:firstLine="0"/>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r w:rsidR="00CD4D64">
        <w:rPr>
          <w:rFonts w:asciiTheme="majorHAnsi" w:hAnsiTheme="majorHAnsi" w:cstheme="majorHAnsi"/>
          <w:color w:val="000000"/>
          <w:sz w:val="24"/>
        </w:rPr>
        <w:br/>
      </w:r>
      <w:r w:rsidR="00CD4D64" w:rsidRPr="00CD4D64">
        <w:rPr>
          <w:rFonts w:asciiTheme="majorHAnsi" w:hAnsiTheme="majorHAnsi" w:cstheme="majorHAnsi"/>
          <w:b/>
          <w:bCs/>
          <w:color w:val="000000"/>
          <w:sz w:val="24"/>
        </w:rPr>
        <w:t>1.1.Formularz ofertowy</w:t>
      </w:r>
      <w:r w:rsidR="00CD4D64" w:rsidRPr="00CD4D64">
        <w:rPr>
          <w:rFonts w:asciiTheme="majorHAnsi" w:hAnsiTheme="majorHAnsi" w:cstheme="majorHAnsi"/>
          <w:color w:val="000000"/>
          <w:sz w:val="24"/>
        </w:rPr>
        <w:t xml:space="preserve"> – zgodnie z załącznikiem </w:t>
      </w:r>
      <w:r w:rsidR="00CD4D64" w:rsidRPr="00CD4D64">
        <w:rPr>
          <w:rFonts w:asciiTheme="majorHAnsi" w:hAnsiTheme="majorHAnsi" w:cstheme="majorHAnsi"/>
          <w:i/>
          <w:iCs/>
          <w:color w:val="000000"/>
          <w:sz w:val="24"/>
        </w:rPr>
        <w:t>nr 1 do SWZ, w</w:t>
      </w:r>
      <w:r w:rsidR="00CD4D64" w:rsidRPr="00CD4D64">
        <w:rPr>
          <w:rFonts w:asciiTheme="majorHAnsi" w:hAnsiTheme="majorHAnsi" w:cstheme="majorHAnsi"/>
          <w:color w:val="000000"/>
          <w:sz w:val="24"/>
        </w:rPr>
        <w:t xml:space="preserve"> przypadku gdy Wykonawca nie korzysta z przygotowanego przez Zamawiającego wzoru, w treści oferty należy zamieścić wszystkie informacje wymagane w Formularzu ofertowym.</w:t>
      </w:r>
    </w:p>
    <w:p w14:paraId="61CF9DB3" w14:textId="77777777" w:rsidR="00CD4D64" w:rsidRPr="00A64FB0" w:rsidRDefault="00CD4D64" w:rsidP="00CD4D64">
      <w:pPr>
        <w:pStyle w:val="Akapitzlist"/>
        <w:tabs>
          <w:tab w:val="left" w:pos="426"/>
        </w:tabs>
        <w:spacing w:after="120"/>
        <w:ind w:left="0"/>
        <w:rPr>
          <w:rFonts w:asciiTheme="majorHAnsi" w:hAnsiTheme="majorHAnsi" w:cstheme="majorHAnsi"/>
          <w:color w:val="000000"/>
          <w:lang w:val="pl"/>
        </w:rPr>
      </w:pPr>
      <w:r w:rsidRPr="00A64FB0">
        <w:rPr>
          <w:rFonts w:asciiTheme="majorHAnsi" w:hAnsiTheme="majorHAnsi" w:cstheme="majorHAnsi"/>
          <w:b/>
          <w:bCs/>
          <w:color w:val="000000"/>
          <w:lang w:val="pl"/>
        </w:rPr>
        <w:t>1.2</w:t>
      </w:r>
      <w:r w:rsidRPr="00A64FB0">
        <w:rPr>
          <w:rFonts w:asciiTheme="majorHAnsi" w:hAnsiTheme="majorHAnsi" w:cstheme="majorHAnsi"/>
          <w:color w:val="000000"/>
          <w:lang w:val="pl"/>
        </w:rPr>
        <w:t xml:space="preserve">. Oświadczenie Wykonawcy o spełnieniu warunków udziału w postępowaniu – wzór oświadczenia stanowi </w:t>
      </w:r>
      <w:r w:rsidRPr="00A64FB0">
        <w:rPr>
          <w:rFonts w:asciiTheme="majorHAnsi" w:hAnsiTheme="majorHAnsi" w:cstheme="majorHAnsi"/>
          <w:i/>
          <w:iCs/>
          <w:color w:val="000000"/>
          <w:lang w:val="pl"/>
        </w:rPr>
        <w:t>załącznik nr do 2 do  SWZ.</w:t>
      </w:r>
    </w:p>
    <w:p w14:paraId="74E1C333" w14:textId="54EE35CB" w:rsidR="00CD4D64" w:rsidRPr="00A64FB0" w:rsidRDefault="00CD4D64" w:rsidP="00CD4D64">
      <w:pPr>
        <w:pStyle w:val="Akapitzlist"/>
        <w:tabs>
          <w:tab w:val="left" w:pos="426"/>
        </w:tabs>
        <w:spacing w:after="120"/>
        <w:ind w:left="0"/>
        <w:rPr>
          <w:rFonts w:asciiTheme="majorHAnsi" w:hAnsiTheme="majorHAnsi" w:cstheme="majorHAnsi"/>
          <w:i/>
          <w:iCs/>
          <w:color w:val="000000"/>
          <w:lang w:val="pl"/>
        </w:rPr>
      </w:pPr>
      <w:r w:rsidRPr="00A64FB0">
        <w:rPr>
          <w:rFonts w:asciiTheme="majorHAnsi" w:hAnsiTheme="majorHAnsi" w:cstheme="majorHAnsi"/>
          <w:b/>
          <w:bCs/>
          <w:color w:val="000000"/>
          <w:lang w:val="pl"/>
        </w:rPr>
        <w:t>1.3</w:t>
      </w:r>
      <w:r w:rsidRPr="00A64FB0">
        <w:rPr>
          <w:rFonts w:asciiTheme="majorHAnsi" w:hAnsiTheme="majorHAnsi" w:cstheme="majorHAnsi"/>
          <w:color w:val="000000"/>
          <w:lang w:val="pl"/>
        </w:rPr>
        <w:t xml:space="preserve">. Oświadczenie Wykonawcy o </w:t>
      </w:r>
      <w:r w:rsidR="000E62AA" w:rsidRPr="00A64FB0">
        <w:rPr>
          <w:rFonts w:asciiTheme="majorHAnsi" w:hAnsiTheme="majorHAnsi" w:cstheme="majorHAnsi"/>
          <w:color w:val="000000"/>
          <w:lang w:val="pl"/>
        </w:rPr>
        <w:t xml:space="preserve">braku podstaw </w:t>
      </w:r>
      <w:r w:rsidRPr="00A64FB0">
        <w:rPr>
          <w:rFonts w:asciiTheme="majorHAnsi" w:hAnsiTheme="majorHAnsi" w:cstheme="majorHAnsi"/>
          <w:color w:val="000000"/>
          <w:lang w:val="pl"/>
        </w:rPr>
        <w:t xml:space="preserve"> wykluczeni</w:t>
      </w:r>
      <w:r w:rsidR="000E62AA" w:rsidRPr="00A64FB0">
        <w:rPr>
          <w:rFonts w:asciiTheme="majorHAnsi" w:hAnsiTheme="majorHAnsi" w:cstheme="majorHAnsi"/>
          <w:color w:val="000000"/>
          <w:lang w:val="pl"/>
        </w:rPr>
        <w:t>a</w:t>
      </w:r>
      <w:r w:rsidRPr="00A64FB0">
        <w:rPr>
          <w:rFonts w:asciiTheme="majorHAnsi" w:hAnsiTheme="majorHAnsi" w:cstheme="majorHAnsi"/>
          <w:color w:val="000000"/>
          <w:lang w:val="pl"/>
        </w:rPr>
        <w:t xml:space="preserve"> z </w:t>
      </w:r>
      <w:r w:rsidR="000E62AA" w:rsidRPr="00A64FB0">
        <w:rPr>
          <w:rFonts w:asciiTheme="majorHAnsi" w:hAnsiTheme="majorHAnsi" w:cstheme="majorHAnsi"/>
          <w:color w:val="000000"/>
          <w:lang w:val="pl"/>
        </w:rPr>
        <w:t>udziału w postępowaniu</w:t>
      </w:r>
      <w:r w:rsidRPr="00A64FB0">
        <w:rPr>
          <w:rFonts w:asciiTheme="majorHAnsi" w:hAnsiTheme="majorHAnsi" w:cstheme="majorHAnsi"/>
          <w:color w:val="000000"/>
          <w:lang w:val="pl"/>
        </w:rPr>
        <w:t xml:space="preserve"> – wzór oświadczenia stanowi </w:t>
      </w:r>
      <w:r w:rsidRPr="00A64FB0">
        <w:rPr>
          <w:rFonts w:asciiTheme="majorHAnsi" w:hAnsiTheme="majorHAnsi" w:cstheme="majorHAnsi"/>
          <w:i/>
          <w:iCs/>
          <w:color w:val="000000"/>
          <w:lang w:val="pl"/>
        </w:rPr>
        <w:t xml:space="preserve">załącznik nr 3 do SWZ. </w:t>
      </w:r>
    </w:p>
    <w:p w14:paraId="140A804E" w14:textId="0EAD2034" w:rsidR="00CD4D64" w:rsidRPr="00A64FB0" w:rsidRDefault="00CD4D64" w:rsidP="002B737E">
      <w:pPr>
        <w:pStyle w:val="Akapitzlist"/>
        <w:numPr>
          <w:ilvl w:val="1"/>
          <w:numId w:val="28"/>
        </w:numPr>
        <w:tabs>
          <w:tab w:val="left" w:pos="426"/>
        </w:tabs>
        <w:spacing w:after="120"/>
        <w:ind w:left="0" w:firstLine="0"/>
        <w:rPr>
          <w:rFonts w:asciiTheme="majorHAnsi" w:hAnsiTheme="majorHAnsi" w:cstheme="majorHAnsi"/>
          <w:color w:val="000000"/>
        </w:rPr>
      </w:pPr>
      <w:r w:rsidRPr="00A64FB0">
        <w:rPr>
          <w:rFonts w:asciiTheme="majorHAnsi" w:hAnsiTheme="majorHAnsi" w:cstheme="majorHAnsi"/>
          <w:color w:val="000000"/>
        </w:rPr>
        <w:t>W przypadku wspólnego ubiegania się o zamówienie przez Wykonawców, oświadczenie o niepodleganiu wykluczeniu składa każdy Wykonawca.</w:t>
      </w:r>
      <w:r w:rsidRPr="00A64FB0">
        <w:rPr>
          <w:rFonts w:asciiTheme="majorHAnsi" w:hAnsiTheme="majorHAnsi" w:cstheme="majorHAnsi"/>
          <w:color w:val="000000"/>
        </w:rPr>
        <w:br/>
      </w:r>
      <w:r w:rsidRPr="00A64FB0">
        <w:rPr>
          <w:rFonts w:asciiTheme="majorHAnsi" w:hAnsiTheme="majorHAnsi" w:cstheme="majorHAnsi"/>
          <w:b/>
          <w:bCs/>
          <w:color w:val="000000"/>
        </w:rPr>
        <w:t xml:space="preserve"> 1.5</w:t>
      </w:r>
      <w:r w:rsidRPr="00A64FB0">
        <w:rPr>
          <w:rFonts w:asciiTheme="majorHAnsi" w:hAnsiTheme="majorHAnsi" w:cstheme="majorHAnsi"/>
          <w:color w:val="000000"/>
        </w:rPr>
        <w:t>. Pełnomocnictwo upoważniające do złożenia oferty, o ile ofertę składa pełnomocnik.</w:t>
      </w:r>
    </w:p>
    <w:p w14:paraId="71E8DEB7" w14:textId="4E52C619" w:rsidR="00CD4D64" w:rsidRPr="00A64FB0" w:rsidRDefault="00CD4D64" w:rsidP="00CD4D64">
      <w:pPr>
        <w:pStyle w:val="Akapitzlist"/>
        <w:tabs>
          <w:tab w:val="left" w:pos="426"/>
        </w:tabs>
        <w:spacing w:after="120"/>
        <w:ind w:left="0"/>
        <w:rPr>
          <w:rFonts w:asciiTheme="majorHAnsi" w:hAnsiTheme="majorHAnsi" w:cstheme="majorHAnsi"/>
          <w:color w:val="000000"/>
          <w:lang w:val="pl"/>
        </w:rPr>
      </w:pPr>
      <w:r w:rsidRPr="00A64FB0">
        <w:rPr>
          <w:rFonts w:asciiTheme="majorHAnsi" w:hAnsiTheme="majorHAnsi" w:cstheme="majorHAnsi"/>
          <w:b/>
          <w:bCs/>
          <w:color w:val="000000"/>
          <w:lang w:val="pl"/>
        </w:rPr>
        <w:t xml:space="preserve"> 1.6. </w:t>
      </w:r>
      <w:r w:rsidRPr="00A64FB0">
        <w:rPr>
          <w:rFonts w:asciiTheme="majorHAnsi" w:hAnsiTheme="majorHAnsi" w:cstheme="majorHAnsi"/>
          <w:color w:val="000000"/>
          <w:lang w:val="pl"/>
        </w:rPr>
        <w:t>Pełnomocnictwo</w:t>
      </w:r>
      <w:r w:rsidRPr="00A64FB0">
        <w:rPr>
          <w:rFonts w:asciiTheme="majorHAnsi" w:hAnsiTheme="majorHAnsi" w:cstheme="majorHAnsi"/>
          <w:b/>
          <w:bCs/>
          <w:color w:val="000000"/>
          <w:lang w:val="pl"/>
        </w:rPr>
        <w:t xml:space="preserve"> </w:t>
      </w:r>
      <w:r w:rsidRPr="00A64FB0">
        <w:rPr>
          <w:rFonts w:asciiTheme="majorHAnsi" w:hAnsiTheme="majorHAnsi" w:cstheme="majorHAnsi"/>
          <w:color w:val="000000"/>
          <w:lang w:val="pl"/>
        </w:rPr>
        <w:t xml:space="preserve"> do reprezentowania w postepowaniu Wykonawców wspólnie ubiegających się o udzielenie zamówienia – dotyczy ofert składanych przez Wykonawców wspólnie ubiegających się o udzielenie zamówienia.</w:t>
      </w:r>
    </w:p>
    <w:p w14:paraId="0DB4FD08" w14:textId="77777777" w:rsidR="00CD4D64" w:rsidRPr="00A64FB0" w:rsidRDefault="00CD4D64" w:rsidP="00CD4D64">
      <w:pPr>
        <w:pStyle w:val="Akapitzlist"/>
        <w:tabs>
          <w:tab w:val="left" w:pos="426"/>
        </w:tabs>
        <w:spacing w:after="120"/>
        <w:ind w:left="0"/>
        <w:rPr>
          <w:rFonts w:asciiTheme="majorHAnsi" w:hAnsiTheme="majorHAnsi" w:cstheme="majorHAnsi"/>
          <w:color w:val="000000"/>
          <w:lang w:val="pl"/>
        </w:rPr>
      </w:pPr>
      <w:r w:rsidRPr="00A64FB0">
        <w:rPr>
          <w:rFonts w:asciiTheme="majorHAnsi" w:hAnsiTheme="majorHAnsi" w:cstheme="majorHAnsi"/>
          <w:b/>
          <w:bCs/>
          <w:color w:val="000000"/>
          <w:lang w:val="pl"/>
        </w:rPr>
        <w:t>1.7</w:t>
      </w:r>
      <w:r w:rsidRPr="00A64FB0">
        <w:rPr>
          <w:rFonts w:asciiTheme="majorHAnsi" w:hAnsiTheme="majorHAnsi" w:cstheme="majorHAnsi"/>
          <w:color w:val="000000"/>
          <w:lang w:val="pl"/>
        </w:rPr>
        <w:t>. Zobowiązanie podmiotu udostępniającego zasoby (jeżeli dotyczy)</w:t>
      </w:r>
    </w:p>
    <w:p w14:paraId="735BDAC5" w14:textId="5CB49EC4" w:rsidR="00CD4D64" w:rsidRPr="00A64FB0" w:rsidRDefault="00CD4D64" w:rsidP="002B737E">
      <w:pPr>
        <w:pStyle w:val="Akapitzlist"/>
        <w:numPr>
          <w:ilvl w:val="1"/>
          <w:numId w:val="29"/>
        </w:numPr>
        <w:tabs>
          <w:tab w:val="left" w:pos="426"/>
        </w:tabs>
        <w:spacing w:after="120"/>
        <w:rPr>
          <w:rFonts w:asciiTheme="majorHAnsi" w:hAnsiTheme="majorHAnsi" w:cstheme="majorHAnsi"/>
          <w:color w:val="000000"/>
        </w:rPr>
      </w:pPr>
      <w:r w:rsidRPr="00A64FB0">
        <w:rPr>
          <w:rFonts w:asciiTheme="majorHAnsi" w:hAnsiTheme="majorHAnsi" w:cstheme="majorHAnsi"/>
          <w:color w:val="000000"/>
        </w:rPr>
        <w:t>Oświadczenie wykonawców występujących wspólnie (jeżeli dotyczy).</w:t>
      </w:r>
    </w:p>
    <w:p w14:paraId="234CB637" w14:textId="2B9D3E85" w:rsidR="00C27275" w:rsidRPr="00A64FB0" w:rsidRDefault="00597488" w:rsidP="007A53EB">
      <w:pPr>
        <w:tabs>
          <w:tab w:val="left" w:pos="0"/>
        </w:tabs>
        <w:spacing w:after="120"/>
        <w:rPr>
          <w:rFonts w:asciiTheme="majorHAnsi" w:hAnsiTheme="majorHAnsi" w:cstheme="majorHAnsi"/>
          <w:color w:val="000000"/>
        </w:rPr>
      </w:pPr>
      <w:r w:rsidRPr="00A64FB0">
        <w:rPr>
          <w:rFonts w:asciiTheme="majorHAnsi" w:hAnsiTheme="majorHAnsi" w:cstheme="majorHAnsi"/>
          <w:bCs/>
          <w:color w:val="000000"/>
        </w:rPr>
        <w:t xml:space="preserve">        </w:t>
      </w:r>
      <w:r w:rsidR="00C27275" w:rsidRPr="00A64FB0">
        <w:rPr>
          <w:rFonts w:asciiTheme="majorHAnsi" w:hAnsiTheme="majorHAnsi" w:cstheme="majorHAnsi"/>
          <w:bCs/>
          <w:color w:val="000000"/>
        </w:rPr>
        <w:t>W przypadku wspólnego ubiegania się o zamówienie przez wykonawców,</w:t>
      </w:r>
      <w:r w:rsidR="00C27275" w:rsidRPr="00A64FB0">
        <w:rPr>
          <w:rFonts w:asciiTheme="majorHAnsi" w:hAnsiTheme="majorHAnsi" w:cstheme="majorHAnsi"/>
          <w:color w:val="000000"/>
        </w:rPr>
        <w:t xml:space="preserve"> oświadczeni</w:t>
      </w:r>
      <w:r w:rsidR="00723D38" w:rsidRPr="00A64FB0">
        <w:rPr>
          <w:rFonts w:asciiTheme="majorHAnsi" w:hAnsiTheme="majorHAnsi" w:cstheme="majorHAnsi"/>
          <w:color w:val="000000"/>
        </w:rPr>
        <w:t xml:space="preserve">e o spełnieniu warunków udziału w postepowaniu </w:t>
      </w:r>
      <w:r w:rsidRPr="00A64FB0">
        <w:rPr>
          <w:rFonts w:asciiTheme="majorHAnsi" w:hAnsiTheme="majorHAnsi" w:cstheme="majorHAnsi"/>
          <w:color w:val="000000"/>
        </w:rPr>
        <w:t>a</w:t>
      </w:r>
      <w:r w:rsidR="00C27275" w:rsidRPr="00A64FB0">
        <w:rPr>
          <w:rFonts w:asciiTheme="majorHAnsi" w:hAnsiTheme="majorHAnsi" w:cstheme="majorHAnsi"/>
          <w:color w:val="00000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16" w:name="_Toc65495856"/>
      <w:r w:rsidRPr="00A64FB0">
        <w:rPr>
          <w:rFonts w:asciiTheme="majorHAnsi" w:hAnsiTheme="majorHAnsi" w:cstheme="majorHAnsi"/>
          <w:b/>
          <w:bCs/>
          <w:sz w:val="22"/>
          <w:szCs w:val="22"/>
        </w:rPr>
        <w:br/>
      </w:r>
      <w:r w:rsidR="00273251" w:rsidRPr="00273251">
        <w:rPr>
          <w:rFonts w:asciiTheme="majorHAnsi" w:hAnsiTheme="majorHAnsi" w:cstheme="majorHAnsi"/>
          <w:b/>
          <w:bCs/>
          <w:sz w:val="24"/>
          <w:szCs w:val="24"/>
        </w:rPr>
        <w:t>XI. POLEGANIE NA ZASOBACH INNYCH PODMIOTÓW</w:t>
      </w:r>
      <w:bookmarkEnd w:id="16"/>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F" w14:textId="21AD4560" w:rsidR="001C5D72" w:rsidRPr="00273251" w:rsidRDefault="00842297" w:rsidP="006B40FC">
      <w:pPr>
        <w:pStyle w:val="Nagwek2"/>
        <w:spacing w:before="0" w:after="0" w:line="240" w:lineRule="auto"/>
        <w:jc w:val="both"/>
        <w:rPr>
          <w:rFonts w:asciiTheme="majorHAnsi" w:hAnsiTheme="majorHAnsi" w:cstheme="majorHAnsi"/>
          <w:b/>
          <w:bCs/>
          <w:sz w:val="24"/>
          <w:szCs w:val="24"/>
        </w:rPr>
      </w:pPr>
      <w:bookmarkStart w:id="17" w:name="_Toc65495857"/>
      <w:r>
        <w:rPr>
          <w:rFonts w:asciiTheme="majorHAnsi" w:hAnsiTheme="majorHAnsi" w:cstheme="majorHAnsi"/>
          <w:b/>
          <w:bCs/>
          <w:sz w:val="24"/>
          <w:szCs w:val="24"/>
        </w:rPr>
        <w:br/>
      </w:r>
      <w:r w:rsidR="00FC4AB9"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7"/>
    </w:p>
    <w:p w14:paraId="060B4A3F" w14:textId="77777777" w:rsidR="006B40FC" w:rsidRPr="00A258D6" w:rsidRDefault="006B40FC" w:rsidP="006B40FC">
      <w:pPr>
        <w:rPr>
          <w:rFonts w:asciiTheme="majorHAnsi" w:hAnsiTheme="majorHAnsi" w:cstheme="majorHAnsi"/>
        </w:rPr>
      </w:pPr>
    </w:p>
    <w:p w14:paraId="000000B0" w14:textId="519286CF" w:rsidR="001C5D72" w:rsidRPr="00A258D6"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000E62AA">
        <w:rPr>
          <w:rFonts w:asciiTheme="majorHAnsi" w:hAnsiTheme="majorHAnsi" w:cstheme="majorHAnsi"/>
        </w:rPr>
        <w:br/>
      </w:r>
      <w:r w:rsidRPr="00A258D6">
        <w:rPr>
          <w:rFonts w:asciiTheme="majorHAnsi" w:hAnsiTheme="majorHAnsi" w:cstheme="majorHAnsi"/>
        </w:rPr>
        <w:t>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7561A246" w:rsidR="001C5D72" w:rsidRPr="00102D43" w:rsidRDefault="00FC4AB9" w:rsidP="002B737E">
      <w:pPr>
        <w:numPr>
          <w:ilvl w:val="0"/>
          <w:numId w:val="11"/>
        </w:numPr>
        <w:spacing w:line="319" w:lineRule="auto"/>
        <w:ind w:left="0" w:hanging="26"/>
        <w:jc w:val="both"/>
        <w:rPr>
          <w:rFonts w:asciiTheme="majorHAnsi" w:hAnsiTheme="majorHAnsi" w:cstheme="majorHAnsi"/>
          <w:b/>
          <w:bCs/>
          <w:color w:val="C00000"/>
        </w:rPr>
      </w:pPr>
      <w:bookmarkStart w:id="18" w:name="_Hlk63772459"/>
      <w:r w:rsidRPr="00A258D6">
        <w:rPr>
          <w:rFonts w:asciiTheme="majorHAnsi" w:hAnsiTheme="majorHAnsi" w:cstheme="majorHAnsi"/>
        </w:rPr>
        <w:t xml:space="preserve">Wykonawcy wspólnie ubiegający się o udzielenie zamówienia dołączają do oferty </w:t>
      </w:r>
      <w:bookmarkStart w:id="19"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EC5F8D">
        <w:rPr>
          <w:rFonts w:asciiTheme="majorHAnsi" w:hAnsiTheme="majorHAnsi" w:cstheme="majorHAnsi"/>
        </w:rPr>
        <w:t>.</w:t>
      </w:r>
    </w:p>
    <w:bookmarkEnd w:id="18"/>
    <w:bookmarkEnd w:id="19"/>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0" w:name="_Toc65495858"/>
      <w:bookmarkStart w:id="21"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0"/>
    </w:p>
    <w:p w14:paraId="4FA5C6FB" w14:textId="77777777" w:rsidR="006B40FC" w:rsidRPr="00A258D6" w:rsidRDefault="006B40FC" w:rsidP="006B40FC">
      <w:pPr>
        <w:rPr>
          <w:rFonts w:asciiTheme="majorHAnsi" w:hAnsiTheme="majorHAnsi" w:cstheme="majorHAnsi"/>
        </w:rPr>
      </w:pPr>
    </w:p>
    <w:p w14:paraId="0BD54A7C" w14:textId="77777777" w:rsidR="00EC5F8D" w:rsidRPr="00EC5F8D" w:rsidRDefault="00FC4AB9" w:rsidP="002B737E">
      <w:pPr>
        <w:numPr>
          <w:ilvl w:val="0"/>
          <w:numId w:val="10"/>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p>
    <w:p w14:paraId="227D3E84" w14:textId="78656549" w:rsidR="00963D1E" w:rsidRPr="00612323" w:rsidRDefault="00EC5F8D" w:rsidP="00EC5F8D">
      <w:pPr>
        <w:spacing w:line="319" w:lineRule="auto"/>
        <w:jc w:val="both"/>
        <w:rPr>
          <w:rFonts w:asciiTheme="majorHAnsi" w:hAnsiTheme="majorHAnsi" w:cstheme="majorHAnsi"/>
        </w:rPr>
      </w:pPr>
      <w:r>
        <w:rPr>
          <w:rFonts w:asciiTheme="majorHAnsi" w:hAnsiTheme="majorHAnsi" w:cstheme="majorHAnsi"/>
        </w:rPr>
        <w:br/>
      </w:r>
      <w:r w:rsidRPr="00612323">
        <w:rPr>
          <w:rFonts w:asciiTheme="majorHAnsi" w:hAnsiTheme="majorHAnsi" w:cstheme="majorHAnsi"/>
        </w:rPr>
        <w:t xml:space="preserve">     </w:t>
      </w:r>
      <w:r w:rsidR="00CC4F47" w:rsidRPr="00612323">
        <w:rPr>
          <w:rFonts w:asciiTheme="majorHAnsi" w:hAnsiTheme="majorHAnsi" w:cstheme="majorHAnsi"/>
        </w:rPr>
        <w:t xml:space="preserve">Halina </w:t>
      </w:r>
      <w:r w:rsidRPr="00612323">
        <w:rPr>
          <w:rFonts w:asciiTheme="majorHAnsi" w:hAnsiTheme="majorHAnsi" w:cstheme="majorHAnsi"/>
        </w:rPr>
        <w:t xml:space="preserve"> </w:t>
      </w:r>
      <w:r w:rsidR="00CC4F47" w:rsidRPr="00612323">
        <w:rPr>
          <w:rFonts w:asciiTheme="majorHAnsi" w:hAnsiTheme="majorHAnsi" w:cstheme="majorHAnsi"/>
        </w:rPr>
        <w:t>Wroniecka</w:t>
      </w:r>
      <w:r w:rsidRPr="00612323">
        <w:rPr>
          <w:rFonts w:asciiTheme="majorHAnsi" w:hAnsiTheme="majorHAnsi" w:cstheme="majorHAnsi"/>
        </w:rPr>
        <w:t xml:space="preserve">:    </w:t>
      </w:r>
      <w:r w:rsidR="00963D1E" w:rsidRPr="00612323">
        <w:rPr>
          <w:rFonts w:asciiTheme="majorHAnsi" w:hAnsiTheme="majorHAnsi" w:cstheme="majorHAnsi"/>
        </w:rPr>
        <w:t xml:space="preserve"> e-mail: </w:t>
      </w:r>
      <w:r w:rsidR="00AB6394" w:rsidRPr="00612323">
        <w:rPr>
          <w:rFonts w:asciiTheme="majorHAnsi" w:hAnsiTheme="majorHAnsi" w:cstheme="majorHAnsi"/>
        </w:rPr>
        <w:t xml:space="preserve">   </w:t>
      </w:r>
      <w:hyperlink r:id="rId14" w:history="1">
        <w:r w:rsidR="00AB6394" w:rsidRPr="00612323">
          <w:rPr>
            <w:rStyle w:val="Hipercze"/>
            <w:rFonts w:asciiTheme="majorHAnsi" w:hAnsiTheme="majorHAnsi" w:cstheme="majorHAnsi"/>
          </w:rPr>
          <w:t>halina.wroniecka@rokietnica.pl</w:t>
        </w:r>
      </w:hyperlink>
      <w:r w:rsidR="008C666D" w:rsidRPr="00612323">
        <w:rPr>
          <w:rStyle w:val="Hipercze"/>
          <w:rFonts w:asciiTheme="majorHAnsi" w:hAnsiTheme="majorHAnsi" w:cstheme="majorHAnsi"/>
        </w:rPr>
        <w:t xml:space="preserve">   </w:t>
      </w:r>
      <w:r w:rsidR="00CD4D64" w:rsidRPr="00612323">
        <w:rPr>
          <w:rStyle w:val="Hipercze"/>
          <w:rFonts w:asciiTheme="majorHAnsi" w:hAnsiTheme="majorHAnsi" w:cstheme="majorHAnsi"/>
        </w:rPr>
        <w:t xml:space="preserve">  </w:t>
      </w:r>
      <w:r w:rsidR="00963D1E" w:rsidRPr="00612323">
        <w:rPr>
          <w:rFonts w:asciiTheme="majorHAnsi" w:hAnsiTheme="majorHAnsi" w:cstheme="majorHAnsi"/>
        </w:rPr>
        <w:t xml:space="preserve"> – </w:t>
      </w:r>
      <w:r w:rsidR="000F37D7" w:rsidRPr="00612323">
        <w:rPr>
          <w:rFonts w:asciiTheme="majorHAnsi" w:hAnsiTheme="majorHAnsi" w:cstheme="majorHAnsi"/>
        </w:rPr>
        <w:t xml:space="preserve"> </w:t>
      </w:r>
      <w:r w:rsidR="00FA7219" w:rsidRPr="00612323">
        <w:rPr>
          <w:rFonts w:asciiTheme="majorHAnsi" w:hAnsiTheme="majorHAnsi" w:cstheme="majorHAnsi"/>
        </w:rPr>
        <w:t xml:space="preserve"> </w:t>
      </w:r>
      <w:r w:rsidR="00963D1E" w:rsidRPr="00612323">
        <w:rPr>
          <w:rFonts w:asciiTheme="majorHAnsi" w:hAnsiTheme="majorHAnsi" w:cstheme="majorHAnsi"/>
        </w:rPr>
        <w:t>sprawy formalne</w:t>
      </w:r>
    </w:p>
    <w:p w14:paraId="1426DB22" w14:textId="6F8EA536" w:rsidR="00963D1E" w:rsidRPr="00963D1E" w:rsidRDefault="00612323" w:rsidP="00AB6394">
      <w:pPr>
        <w:spacing w:line="319" w:lineRule="auto"/>
        <w:ind w:left="284"/>
        <w:rPr>
          <w:rFonts w:asciiTheme="majorHAnsi" w:hAnsiTheme="majorHAnsi" w:cstheme="majorHAnsi"/>
          <w:b/>
          <w:bCs/>
          <w:lang w:val="pl-PL"/>
        </w:rPr>
      </w:pPr>
      <w:r w:rsidRPr="00612323">
        <w:rPr>
          <w:rFonts w:asciiTheme="majorHAnsi" w:hAnsiTheme="majorHAnsi" w:cstheme="majorHAnsi"/>
          <w:lang w:val="pl-PL"/>
        </w:rPr>
        <w:t>Leopold  Wiorek</w:t>
      </w:r>
      <w:r>
        <w:rPr>
          <w:rFonts w:asciiTheme="majorHAnsi" w:hAnsiTheme="majorHAnsi" w:cstheme="majorHAnsi"/>
          <w:b/>
          <w:bCs/>
          <w:lang w:val="pl-PL"/>
        </w:rPr>
        <w:t xml:space="preserve">     </w:t>
      </w:r>
      <w:r w:rsidR="006820FD" w:rsidRPr="00FA7219">
        <w:rPr>
          <w:rFonts w:asciiTheme="majorHAnsi" w:hAnsiTheme="majorHAnsi" w:cstheme="majorHAnsi"/>
          <w:lang w:val="pl-PL"/>
        </w:rPr>
        <w:t xml:space="preserve">  </w:t>
      </w:r>
      <w:r w:rsidR="00B434E0" w:rsidRPr="00FA7219">
        <w:rPr>
          <w:rFonts w:asciiTheme="majorHAnsi" w:hAnsiTheme="majorHAnsi" w:cstheme="majorHAnsi"/>
          <w:lang w:val="pl-PL"/>
        </w:rPr>
        <w:t xml:space="preserve">  </w:t>
      </w:r>
      <w:r w:rsidR="00EC5F8D" w:rsidRPr="00FA7219">
        <w:rPr>
          <w:rFonts w:asciiTheme="majorHAnsi" w:hAnsiTheme="majorHAnsi" w:cstheme="majorHAnsi"/>
          <w:lang w:val="pl-PL"/>
        </w:rPr>
        <w:t>e-mail:</w:t>
      </w:r>
      <w:r w:rsidR="00B434E0" w:rsidRPr="005F619F">
        <w:rPr>
          <w:rFonts w:asciiTheme="majorHAnsi" w:hAnsiTheme="majorHAnsi" w:cstheme="majorHAnsi"/>
          <w:b/>
          <w:bCs/>
          <w:lang w:val="pl-PL"/>
        </w:rPr>
        <w:t xml:space="preserve">    </w:t>
      </w:r>
      <w:hyperlink r:id="rId15" w:history="1">
        <w:r w:rsidRPr="00E033D7">
          <w:rPr>
            <w:rStyle w:val="Hipercze"/>
            <w:rFonts w:asciiTheme="majorHAnsi" w:hAnsiTheme="majorHAnsi" w:cstheme="majorHAnsi"/>
            <w:b/>
            <w:bCs/>
            <w:lang w:val="pl-PL"/>
          </w:rPr>
          <w:t>leopold.wiorek@rokietnica.pl</w:t>
        </w:r>
      </w:hyperlink>
      <w:r>
        <w:rPr>
          <w:rFonts w:asciiTheme="majorHAnsi" w:hAnsiTheme="majorHAnsi" w:cstheme="majorHAnsi"/>
          <w:b/>
          <w:bCs/>
          <w:lang w:val="pl-PL"/>
        </w:rPr>
        <w:t xml:space="preserve">       </w:t>
      </w:r>
      <w:r w:rsidR="005F619F">
        <w:rPr>
          <w:rFonts w:asciiTheme="majorHAnsi" w:hAnsiTheme="majorHAnsi" w:cstheme="majorHAnsi"/>
          <w:b/>
          <w:bCs/>
          <w:lang w:val="pl-PL"/>
        </w:rPr>
        <w:t xml:space="preserve"> </w:t>
      </w:r>
      <w:r w:rsidR="001F1189" w:rsidRPr="005F619F">
        <w:rPr>
          <w:rFonts w:asciiTheme="majorHAnsi" w:hAnsiTheme="majorHAnsi" w:cstheme="majorHAnsi"/>
          <w:b/>
          <w:bCs/>
          <w:lang w:val="pl-PL"/>
        </w:rPr>
        <w:t xml:space="preserve"> </w:t>
      </w:r>
      <w:r w:rsidR="000F37D7" w:rsidRPr="005F619F">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sidRPr="00FA7219">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788143FF" w:rsidR="009B34E2" w:rsidRDefault="009B34E2"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CD4D64" w:rsidRPr="00370582">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3" w:name="_Hlk66119211"/>
      <w:r w:rsidR="00CC4F47" w:rsidRPr="00A258D6">
        <w:rPr>
          <w:rFonts w:asciiTheme="majorHAnsi" w:hAnsiTheme="majorHAnsi" w:cstheme="majorHAnsi"/>
        </w:rPr>
        <w:t xml:space="preserve"> </w:t>
      </w:r>
    </w:p>
    <w:bookmarkEnd w:id="23"/>
    <w:p w14:paraId="622FF532" w14:textId="55DF89B1" w:rsidR="00FD79DF" w:rsidRPr="00A258D6" w:rsidRDefault="00FD79DF" w:rsidP="002B737E">
      <w:pPr>
        <w:numPr>
          <w:ilvl w:val="0"/>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2B737E">
      <w:pPr>
        <w:pStyle w:val="Akapitzlist"/>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2B737E">
      <w:pPr>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2B737E">
      <w:pPr>
        <w:numPr>
          <w:ilvl w:val="0"/>
          <w:numId w:val="10"/>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2B737E">
      <w:pPr>
        <w:pStyle w:val="Akapitzlist"/>
        <w:numPr>
          <w:ilvl w:val="3"/>
          <w:numId w:val="18"/>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2B737E">
      <w:pPr>
        <w:pStyle w:val="Akapitzlist"/>
        <w:numPr>
          <w:ilvl w:val="0"/>
          <w:numId w:val="20"/>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4"/>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0F4B38AA"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r w:rsidR="00842297">
        <w:rPr>
          <w:rFonts w:asciiTheme="majorHAnsi" w:hAnsiTheme="majorHAnsi" w:cstheme="majorHAnsi"/>
          <w:b/>
          <w:bCs/>
          <w:u w:val="single"/>
        </w:rPr>
        <w:br/>
      </w:r>
    </w:p>
    <w:p w14:paraId="73984795"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lastRenderedPageBreak/>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bookmarkStart w:id="25"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2"/>
    <w:bookmarkEnd w:id="2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lastRenderedPageBreak/>
        <w:t>XIV. OPIS SPOSOBU PRZYGOTOWANIA OFERT ORAZ DOKUMENTÓW WYMAGANYCH PRZEZ ZAMAWIAJĄCEGO W SWZ</w:t>
      </w:r>
      <w:bookmarkEnd w:id="26"/>
    </w:p>
    <w:p w14:paraId="1D595F67" w14:textId="77777777" w:rsidR="00897FAC" w:rsidRPr="00897FAC" w:rsidRDefault="00897FAC" w:rsidP="00897FAC"/>
    <w:p w14:paraId="44857C5C" w14:textId="1FABECE0" w:rsidR="00D82F07" w:rsidRPr="00A258D6" w:rsidRDefault="003654F0" w:rsidP="00B67693">
      <w:pPr>
        <w:pStyle w:val="NormalnyWeb"/>
        <w:jc w:val="both"/>
        <w:textAlignment w:val="baseline"/>
        <w:rPr>
          <w:rFonts w:asciiTheme="majorHAnsi" w:hAnsiTheme="majorHAnsi" w:cstheme="majorHAnsi"/>
          <w:sz w:val="22"/>
          <w:szCs w:val="22"/>
        </w:rPr>
      </w:pPr>
      <w:bookmarkStart w:id="28" w:name="_Hlk66110848"/>
      <w:r>
        <w:rPr>
          <w:rFonts w:asciiTheme="majorHAnsi" w:hAnsiTheme="majorHAnsi" w:cstheme="majorHAnsi"/>
          <w:b/>
          <w:bCs/>
          <w:sz w:val="22"/>
          <w:szCs w:val="22"/>
        </w:rPr>
        <w:t>1.</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3A044915"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7"/>
      <w:bookmarkEnd w:id="28"/>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lastRenderedPageBreak/>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9B14B7"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138E339E" w:rsidR="001C5D72" w:rsidRDefault="00273251" w:rsidP="00881111">
      <w:pPr>
        <w:pStyle w:val="Nagwek2"/>
        <w:spacing w:before="0" w:after="0" w:line="319" w:lineRule="auto"/>
        <w:rPr>
          <w:rFonts w:asciiTheme="majorHAnsi" w:hAnsiTheme="majorHAnsi" w:cstheme="majorHAnsi"/>
          <w:b/>
          <w:bCs/>
          <w:sz w:val="24"/>
          <w:szCs w:val="24"/>
        </w:rPr>
      </w:pPr>
      <w:bookmarkStart w:id="29" w:name="_Toc65495860"/>
      <w:bookmarkEnd w:id="21"/>
      <w:r w:rsidRPr="000A6F80">
        <w:rPr>
          <w:rFonts w:asciiTheme="majorHAnsi" w:hAnsiTheme="majorHAnsi" w:cstheme="majorHAnsi"/>
          <w:b/>
          <w:bCs/>
          <w:sz w:val="24"/>
          <w:szCs w:val="24"/>
        </w:rPr>
        <w:t>XV. SPOSÓB OBLICZANIA CENY OFERTY</w:t>
      </w:r>
      <w:bookmarkEnd w:id="29"/>
      <w:r w:rsidR="00141B27">
        <w:rPr>
          <w:rFonts w:asciiTheme="majorHAnsi" w:hAnsiTheme="majorHAnsi" w:cstheme="majorHAnsi"/>
          <w:b/>
          <w:bCs/>
          <w:sz w:val="24"/>
          <w:szCs w:val="24"/>
        </w:rPr>
        <w:br/>
      </w:r>
    </w:p>
    <w:p w14:paraId="435A3BB1" w14:textId="76760FE9" w:rsidR="0013799C" w:rsidRPr="0013799C" w:rsidRDefault="0013799C" w:rsidP="002B737E">
      <w:pPr>
        <w:pStyle w:val="Akapitzlist"/>
        <w:numPr>
          <w:ilvl w:val="1"/>
          <w:numId w:val="21"/>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7EE428F4"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w:t>
      </w:r>
      <w:r w:rsidR="00842297">
        <w:rPr>
          <w:rFonts w:asciiTheme="majorHAnsi" w:hAnsiTheme="majorHAnsi" w:cstheme="majorHAnsi"/>
        </w:rPr>
        <w:t>.</w:t>
      </w:r>
      <w:r w:rsidRPr="0013799C">
        <w:rPr>
          <w:rFonts w:asciiTheme="majorHAnsi" w:hAnsiTheme="majorHAnsi" w:cstheme="majorHAnsi"/>
        </w:rPr>
        <w:t xml:space="preserve"> </w:t>
      </w:r>
    </w:p>
    <w:p w14:paraId="5793EC64" w14:textId="12041D31"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06A49BE" w14:textId="77777777" w:rsidR="0013799C" w:rsidRPr="0013799C" w:rsidRDefault="0013799C" w:rsidP="00141B27">
      <w:pPr>
        <w:numPr>
          <w:ilvl w:val="1"/>
          <w:numId w:val="21"/>
        </w:numPr>
        <w:tabs>
          <w:tab w:val="clear" w:pos="480"/>
          <w:tab w:val="num" w:pos="0"/>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bookmarkStart w:id="30"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1" w:name="_Hlk25157325"/>
      <w:r w:rsidRPr="0013799C">
        <w:rPr>
          <w:rFonts w:asciiTheme="majorHAnsi" w:eastAsia="Times New Roman" w:hAnsiTheme="majorHAnsi" w:cstheme="majorHAnsi"/>
        </w:rPr>
        <w:t xml:space="preserve">(t.j. Dz. U. z 2019r. poz. 178). </w:t>
      </w:r>
      <w:bookmarkEnd w:id="31"/>
    </w:p>
    <w:bookmarkEnd w:id="30"/>
    <w:p w14:paraId="000000DC" w14:textId="5D20BDD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Zamawiający nie przewiduje rozliczeń w walucie obcej.</w:t>
      </w:r>
    </w:p>
    <w:p w14:paraId="000000DF" w14:textId="70439BA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842297">
      <w:pPr>
        <w:numPr>
          <w:ilvl w:val="1"/>
          <w:numId w:val="21"/>
        </w:numPr>
        <w:tabs>
          <w:tab w:val="clear" w:pos="480"/>
          <w:tab w:val="num" w:pos="0"/>
          <w:tab w:val="num" w:pos="709"/>
          <w:tab w:val="left" w:pos="3855"/>
        </w:tabs>
        <w:spacing w:line="319" w:lineRule="auto"/>
        <w:ind w:left="0" w:firstLine="0"/>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2B737E">
      <w:pPr>
        <w:pStyle w:val="Akapitzlist"/>
        <w:numPr>
          <w:ilvl w:val="1"/>
          <w:numId w:val="21"/>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2" w:name="_Toc65495861"/>
      <w:r w:rsidRPr="00273251">
        <w:rPr>
          <w:rFonts w:asciiTheme="majorHAnsi" w:hAnsiTheme="majorHAnsi" w:cstheme="majorHAnsi"/>
          <w:b/>
          <w:bCs/>
          <w:sz w:val="24"/>
          <w:szCs w:val="24"/>
        </w:rPr>
        <w:t>XVI. WYMAGANIA DOTYCZĄCE WADIUM</w:t>
      </w:r>
      <w:bookmarkEnd w:id="32"/>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2"/>
      <w:r w:rsidRPr="00273251">
        <w:rPr>
          <w:rFonts w:asciiTheme="majorHAnsi" w:hAnsiTheme="majorHAnsi" w:cstheme="majorHAnsi"/>
          <w:b/>
          <w:bCs/>
          <w:sz w:val="24"/>
          <w:szCs w:val="24"/>
        </w:rPr>
        <w:t>XVII. TERMIN ZWIĄZANIA OFERTĄ</w:t>
      </w:r>
      <w:bookmarkEnd w:id="33"/>
      <w:r w:rsidR="00587234">
        <w:rPr>
          <w:rFonts w:asciiTheme="majorHAnsi" w:hAnsiTheme="majorHAnsi" w:cstheme="majorHAnsi"/>
          <w:b/>
          <w:bCs/>
          <w:sz w:val="24"/>
          <w:szCs w:val="24"/>
        </w:rPr>
        <w:br/>
      </w:r>
    </w:p>
    <w:p w14:paraId="000000FB" w14:textId="7DF95B8C"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7F7C70">
        <w:rPr>
          <w:rFonts w:asciiTheme="majorHAnsi" w:hAnsiTheme="majorHAnsi" w:cstheme="majorHAnsi"/>
          <w:bCs/>
        </w:rPr>
        <w:t xml:space="preserve"> </w:t>
      </w:r>
      <w:r w:rsidR="00612323">
        <w:rPr>
          <w:rFonts w:asciiTheme="majorHAnsi" w:hAnsiTheme="majorHAnsi" w:cstheme="majorHAnsi"/>
          <w:bCs/>
        </w:rPr>
        <w:t>01</w:t>
      </w:r>
      <w:r w:rsidR="007F7C70">
        <w:rPr>
          <w:rFonts w:asciiTheme="majorHAnsi" w:hAnsiTheme="majorHAnsi" w:cstheme="majorHAnsi"/>
          <w:bCs/>
        </w:rPr>
        <w:t>.1</w:t>
      </w:r>
      <w:r w:rsidR="00612323">
        <w:rPr>
          <w:rFonts w:asciiTheme="majorHAnsi" w:hAnsiTheme="majorHAnsi" w:cstheme="majorHAnsi"/>
          <w:bCs/>
        </w:rPr>
        <w:t>2</w:t>
      </w:r>
      <w:r w:rsidR="007F7C70">
        <w:rPr>
          <w:rFonts w:asciiTheme="majorHAnsi" w:hAnsiTheme="majorHAnsi" w:cstheme="majorHAnsi"/>
          <w:bCs/>
        </w:rPr>
        <w:t>.</w:t>
      </w:r>
      <w:r w:rsidR="00572DE2" w:rsidRPr="00ED0956">
        <w:rPr>
          <w:rFonts w:asciiTheme="majorHAnsi" w:hAnsiTheme="majorHAnsi" w:cstheme="majorHAnsi"/>
          <w:bCs/>
        </w:rPr>
        <w:t>202</w:t>
      </w:r>
      <w:r w:rsidR="00FA7219" w:rsidRPr="00ED0956">
        <w:rPr>
          <w:rFonts w:asciiTheme="majorHAnsi" w:hAnsiTheme="majorHAnsi" w:cstheme="majorHAnsi"/>
          <w:bCs/>
        </w:rPr>
        <w:t>3</w:t>
      </w:r>
      <w:r w:rsidR="00BE0AB8" w:rsidRPr="00ED0956">
        <w:rPr>
          <w:rFonts w:asciiTheme="majorHAnsi" w:hAnsiTheme="majorHAnsi" w:cstheme="majorHAnsi"/>
          <w:bCs/>
        </w:rPr>
        <w:t xml:space="preserve"> </w:t>
      </w:r>
      <w:r w:rsidR="00572DE2" w:rsidRPr="00ED0956">
        <w:rPr>
          <w:rFonts w:asciiTheme="majorHAnsi" w:hAnsiTheme="majorHAnsi" w:cstheme="majorHAnsi"/>
          <w:bCs/>
        </w:rPr>
        <w:t>roku.</w:t>
      </w:r>
      <w:r w:rsidR="007D3F98" w:rsidRPr="00ED0956">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4"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4"/>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7FDB8875" w:rsidR="001C5D72" w:rsidRPr="00ED0956" w:rsidRDefault="00FC4AB9" w:rsidP="002B737E">
      <w:pPr>
        <w:pStyle w:val="Akapitzlist"/>
        <w:numPr>
          <w:ilvl w:val="0"/>
          <w:numId w:val="12"/>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FA7219">
        <w:rPr>
          <w:rFonts w:asciiTheme="majorHAnsi" w:hAnsiTheme="majorHAnsi" w:cstheme="majorHAnsi"/>
        </w:rPr>
        <w:t xml:space="preserve">dnia </w:t>
      </w:r>
      <w:r w:rsidR="00587234" w:rsidRPr="00FA7219">
        <w:rPr>
          <w:rFonts w:asciiTheme="majorHAnsi" w:hAnsiTheme="majorHAnsi" w:cstheme="majorHAnsi"/>
        </w:rPr>
        <w:t xml:space="preserve"> </w:t>
      </w:r>
      <w:r w:rsidR="00612323">
        <w:rPr>
          <w:rFonts w:asciiTheme="majorHAnsi" w:hAnsiTheme="majorHAnsi" w:cstheme="majorHAnsi"/>
        </w:rPr>
        <w:t>02</w:t>
      </w:r>
      <w:r w:rsidR="00572DE2" w:rsidRPr="00ED0956">
        <w:rPr>
          <w:rFonts w:asciiTheme="majorHAnsi" w:hAnsiTheme="majorHAnsi" w:cstheme="majorHAnsi"/>
        </w:rPr>
        <w:t>.</w:t>
      </w:r>
      <w:r w:rsidR="007F7C70">
        <w:rPr>
          <w:rFonts w:asciiTheme="majorHAnsi" w:hAnsiTheme="majorHAnsi" w:cstheme="majorHAnsi"/>
        </w:rPr>
        <w:t>1</w:t>
      </w:r>
      <w:r w:rsidR="00612323">
        <w:rPr>
          <w:rFonts w:asciiTheme="majorHAnsi" w:hAnsiTheme="majorHAnsi" w:cstheme="majorHAnsi"/>
        </w:rPr>
        <w:t>1</w:t>
      </w:r>
      <w:r w:rsidR="00572DE2" w:rsidRPr="00ED0956">
        <w:rPr>
          <w:rFonts w:asciiTheme="majorHAnsi" w:hAnsiTheme="majorHAnsi" w:cstheme="majorHAnsi"/>
        </w:rPr>
        <w:t>.202</w:t>
      </w:r>
      <w:r w:rsidR="00FA7219" w:rsidRPr="00ED0956">
        <w:rPr>
          <w:rFonts w:asciiTheme="majorHAnsi" w:hAnsiTheme="majorHAnsi" w:cstheme="majorHAnsi"/>
        </w:rPr>
        <w:t>3</w:t>
      </w:r>
      <w:r w:rsidR="00572DE2" w:rsidRPr="00ED0956">
        <w:rPr>
          <w:rFonts w:asciiTheme="majorHAnsi" w:hAnsiTheme="majorHAnsi" w:cstheme="majorHAnsi"/>
        </w:rPr>
        <w:t>r.</w:t>
      </w:r>
      <w:r w:rsidR="00B22953" w:rsidRPr="00ED0956">
        <w:rPr>
          <w:rFonts w:asciiTheme="majorHAnsi" w:hAnsiTheme="majorHAnsi" w:cstheme="majorHAnsi"/>
        </w:rPr>
        <w:t xml:space="preserve"> </w:t>
      </w:r>
      <w:r w:rsidRPr="00ED0956">
        <w:rPr>
          <w:rFonts w:asciiTheme="majorHAnsi" w:hAnsiTheme="majorHAnsi" w:cstheme="majorHAnsi"/>
        </w:rPr>
        <w:t>do godziny</w:t>
      </w:r>
      <w:r w:rsidR="005F18F1" w:rsidRPr="00ED0956">
        <w:rPr>
          <w:rFonts w:asciiTheme="majorHAnsi" w:hAnsiTheme="majorHAnsi" w:cstheme="majorHAnsi"/>
        </w:rPr>
        <w:br/>
      </w:r>
      <w:r w:rsidRPr="00ED0956">
        <w:rPr>
          <w:rFonts w:asciiTheme="majorHAnsi" w:hAnsiTheme="majorHAnsi" w:cstheme="majorHAnsi"/>
        </w:rPr>
        <w:t xml:space="preserve"> </w:t>
      </w:r>
      <w:r w:rsidR="008C428C" w:rsidRPr="00ED0956">
        <w:rPr>
          <w:rFonts w:asciiTheme="majorHAnsi" w:hAnsiTheme="majorHAnsi" w:cstheme="majorHAnsi"/>
        </w:rPr>
        <w:t>0</w:t>
      </w:r>
      <w:r w:rsidR="00612323">
        <w:rPr>
          <w:rFonts w:asciiTheme="majorHAnsi" w:hAnsiTheme="majorHAnsi" w:cstheme="majorHAnsi"/>
        </w:rPr>
        <w:t>9</w:t>
      </w:r>
      <w:r w:rsidR="005F18F1" w:rsidRPr="00ED0956">
        <w:rPr>
          <w:rFonts w:asciiTheme="majorHAnsi" w:hAnsiTheme="majorHAnsi" w:cstheme="majorHAnsi"/>
        </w:rPr>
        <w:t xml:space="preserve"> </w:t>
      </w:r>
      <w:r w:rsidR="0023142D" w:rsidRPr="00ED0956">
        <w:rPr>
          <w:rFonts w:asciiTheme="majorHAnsi" w:hAnsiTheme="majorHAnsi" w:cstheme="majorHAnsi"/>
        </w:rPr>
        <w:t>:</w:t>
      </w:r>
      <w:r w:rsidR="005F18F1" w:rsidRPr="00ED0956">
        <w:rPr>
          <w:rFonts w:asciiTheme="majorHAnsi" w:hAnsiTheme="majorHAnsi" w:cstheme="majorHAnsi"/>
        </w:rPr>
        <w:t xml:space="preserve"> </w:t>
      </w:r>
      <w:r w:rsidR="005E6EF7" w:rsidRPr="00ED0956">
        <w:rPr>
          <w:rFonts w:asciiTheme="majorHAnsi" w:hAnsiTheme="majorHAnsi" w:cstheme="majorHAnsi"/>
        </w:rPr>
        <w:t>00</w:t>
      </w:r>
    </w:p>
    <w:p w14:paraId="00000100" w14:textId="02E2FC6D" w:rsidR="001C5D72" w:rsidRPr="00A258D6" w:rsidRDefault="00FC4AB9" w:rsidP="002B737E">
      <w:pPr>
        <w:numPr>
          <w:ilvl w:val="0"/>
          <w:numId w:val="12"/>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00000102" w14:textId="658DA08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5"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5"/>
    </w:p>
    <w:p w14:paraId="00000106" w14:textId="041CFEA9" w:rsidR="001C5D72" w:rsidRPr="00BE0AB8" w:rsidRDefault="00FC4AB9" w:rsidP="001904E0">
      <w:pPr>
        <w:numPr>
          <w:ilvl w:val="0"/>
          <w:numId w:val="2"/>
        </w:numPr>
        <w:spacing w:line="319" w:lineRule="auto"/>
        <w:jc w:val="both"/>
        <w:rPr>
          <w:rFonts w:asciiTheme="majorHAnsi" w:hAnsiTheme="majorHAnsi" w:cstheme="majorHAnsi"/>
          <w:color w:val="FF0000"/>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612323">
        <w:rPr>
          <w:rFonts w:asciiTheme="majorHAnsi" w:hAnsiTheme="majorHAnsi" w:cstheme="majorHAnsi"/>
        </w:rPr>
        <w:t>02</w:t>
      </w:r>
      <w:r w:rsidR="007F7C70">
        <w:rPr>
          <w:rFonts w:asciiTheme="majorHAnsi" w:hAnsiTheme="majorHAnsi" w:cstheme="majorHAnsi"/>
        </w:rPr>
        <w:t>.</w:t>
      </w:r>
      <w:r w:rsidR="00612323">
        <w:rPr>
          <w:rFonts w:asciiTheme="majorHAnsi" w:hAnsiTheme="majorHAnsi" w:cstheme="majorHAnsi"/>
        </w:rPr>
        <w:t>1</w:t>
      </w:r>
      <w:r w:rsidR="007F7C70">
        <w:rPr>
          <w:rFonts w:asciiTheme="majorHAnsi" w:hAnsiTheme="majorHAnsi" w:cstheme="majorHAnsi"/>
        </w:rPr>
        <w:t>1</w:t>
      </w:r>
      <w:r w:rsidR="00161B1F" w:rsidRPr="00ED0956">
        <w:rPr>
          <w:rFonts w:asciiTheme="majorHAnsi" w:hAnsiTheme="majorHAnsi" w:cstheme="majorHAnsi"/>
        </w:rPr>
        <w:t>.2023 rok, godz</w:t>
      </w:r>
      <w:r w:rsidR="00ED0956">
        <w:rPr>
          <w:rFonts w:asciiTheme="majorHAnsi" w:hAnsiTheme="majorHAnsi" w:cstheme="majorHAnsi"/>
        </w:rPr>
        <w:t xml:space="preserve">.: </w:t>
      </w:r>
      <w:r w:rsidR="00161B1F" w:rsidRPr="00ED0956">
        <w:rPr>
          <w:rFonts w:asciiTheme="majorHAnsi" w:hAnsiTheme="majorHAnsi" w:cstheme="majorHAnsi"/>
        </w:rPr>
        <w:t>0</w:t>
      </w:r>
      <w:r w:rsidR="00612323">
        <w:rPr>
          <w:rFonts w:asciiTheme="majorHAnsi" w:hAnsiTheme="majorHAnsi" w:cstheme="majorHAnsi"/>
        </w:rPr>
        <w:t xml:space="preserve">9 </w:t>
      </w:r>
      <w:r w:rsidR="00161B1F" w:rsidRPr="00ED0956">
        <w:rPr>
          <w:rFonts w:asciiTheme="majorHAnsi" w:hAnsiTheme="majorHAnsi" w:cstheme="majorHAnsi"/>
        </w:rPr>
        <w:t>:</w:t>
      </w:r>
      <w:r w:rsidR="00612323">
        <w:rPr>
          <w:rFonts w:asciiTheme="majorHAnsi" w:hAnsiTheme="majorHAnsi" w:cstheme="majorHAnsi"/>
        </w:rPr>
        <w:t xml:space="preserve"> </w:t>
      </w:r>
      <w:r w:rsidR="00161B1F" w:rsidRPr="00ED0956">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6" w:name="_Toc65495865"/>
      <w:r w:rsidRPr="00B8688E">
        <w:rPr>
          <w:rFonts w:asciiTheme="majorHAnsi" w:hAnsiTheme="majorHAnsi" w:cstheme="majorHAnsi"/>
          <w:b/>
          <w:bCs/>
          <w:sz w:val="24"/>
          <w:szCs w:val="24"/>
        </w:rPr>
        <w:t>XX. OPIS KRYTERIÓW OCENY OFERT WRAZ Z PODANIEM WAG TYCH KRYTERIÓW I SPOSOBU OCENY OFERT</w:t>
      </w:r>
      <w:bookmarkEnd w:id="36"/>
    </w:p>
    <w:p w14:paraId="559EAB52" w14:textId="77777777" w:rsidR="00881111" w:rsidRPr="00A258D6" w:rsidRDefault="00881111" w:rsidP="00881111">
      <w:pPr>
        <w:rPr>
          <w:rFonts w:asciiTheme="majorHAnsi" w:hAnsiTheme="majorHAnsi" w:cstheme="majorHAnsi"/>
        </w:rPr>
      </w:pPr>
    </w:p>
    <w:p w14:paraId="524A6567" w14:textId="1E41BF50" w:rsidR="00B8688E" w:rsidRPr="00B8688E" w:rsidRDefault="00B8688E" w:rsidP="00B8688E">
      <w:pPr>
        <w:spacing w:line="240" w:lineRule="auto"/>
        <w:jc w:val="both"/>
        <w:rPr>
          <w:rFonts w:asciiTheme="majorHAnsi" w:eastAsia="Times New Roman" w:hAnsiTheme="majorHAnsi" w:cstheme="majorHAnsi"/>
        </w:rPr>
      </w:pPr>
      <w:bookmarkStart w:id="37" w:name="_Hlk66451350"/>
      <w:r w:rsidRPr="00B8688E">
        <w:rPr>
          <w:rFonts w:asciiTheme="majorHAnsi" w:eastAsia="Times New Roman" w:hAnsiTheme="majorHAnsi" w:cstheme="majorHAnsi"/>
        </w:rPr>
        <w:t xml:space="preserve">1. Za ofertę najkorzystniejszą, zostanie uznana oferta zawierająca najkorzystniejszy bilans punktów </w:t>
      </w:r>
      <w:r w:rsidR="00E019DE">
        <w:rPr>
          <w:rFonts w:asciiTheme="majorHAnsi" w:eastAsia="Times New Roman" w:hAnsiTheme="majorHAnsi" w:cstheme="majorHAnsi"/>
        </w:rPr>
        <w:br/>
      </w:r>
      <w:r w:rsidRPr="00B8688E">
        <w:rPr>
          <w:rFonts w:asciiTheme="majorHAnsi" w:eastAsia="Times New Roman" w:hAnsiTheme="majorHAnsi" w:cstheme="majorHAnsi"/>
        </w:rPr>
        <w:t>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29775EBC" w:rsidR="00B8688E" w:rsidRPr="00B8688E" w:rsidRDefault="003654F0"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Okres gwarancji – „G”</w:t>
      </w:r>
    </w:p>
    <w:p w14:paraId="692DAF31" w14:textId="5B550F57" w:rsidR="00B8688E" w:rsidRPr="00B8688E" w:rsidRDefault="00E019DE"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693A6E0B"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5C3D0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12DD104" w14:textId="113E1E13" w:rsidR="005C3D0D" w:rsidRDefault="005C3D0D" w:rsidP="005C3D0D">
      <w:pPr>
        <w:pStyle w:val="Default"/>
        <w:spacing w:line="276" w:lineRule="auto"/>
        <w:rPr>
          <w:sz w:val="22"/>
          <w:szCs w:val="22"/>
        </w:rPr>
      </w:pPr>
      <w:r>
        <w:rPr>
          <w:b/>
          <w:bCs/>
          <w:sz w:val="22"/>
          <w:szCs w:val="22"/>
        </w:rPr>
        <w:t xml:space="preserve">15.3. Kryterium </w:t>
      </w:r>
      <w:r w:rsidR="00BE0AB8">
        <w:rPr>
          <w:b/>
          <w:bCs/>
          <w:sz w:val="22"/>
          <w:szCs w:val="22"/>
        </w:rPr>
        <w:br/>
      </w:r>
      <w:r>
        <w:rPr>
          <w:b/>
          <w:bCs/>
          <w:sz w:val="22"/>
          <w:szCs w:val="22"/>
        </w:rPr>
        <w:t xml:space="preserve">b) kryterium okres gwarancji </w:t>
      </w:r>
      <w:r>
        <w:rPr>
          <w:sz w:val="22"/>
          <w:szCs w:val="22"/>
        </w:rPr>
        <w:t xml:space="preserve">( waga 40%), będzie wyliczona wg następującej zasady: </w:t>
      </w:r>
    </w:p>
    <w:p w14:paraId="65B86C94" w14:textId="21C1C51E"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12 miesięcy </w:t>
      </w:r>
      <w:r w:rsidR="00BE0AB8">
        <w:rPr>
          <w:sz w:val="22"/>
          <w:szCs w:val="22"/>
        </w:rPr>
        <w:t xml:space="preserve"> </w:t>
      </w:r>
      <w:r>
        <w:rPr>
          <w:sz w:val="22"/>
          <w:szCs w:val="22"/>
        </w:rPr>
        <w:t xml:space="preserve">– </w:t>
      </w:r>
      <w:r w:rsidR="00BE0AB8">
        <w:rPr>
          <w:sz w:val="22"/>
          <w:szCs w:val="22"/>
        </w:rPr>
        <w:t xml:space="preserve"> </w:t>
      </w:r>
      <w:r>
        <w:rPr>
          <w:sz w:val="22"/>
          <w:szCs w:val="22"/>
        </w:rPr>
        <w:t xml:space="preserve">0 punktów. </w:t>
      </w:r>
    </w:p>
    <w:p w14:paraId="6F2A59B5" w14:textId="17CFA724"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24 miesi</w:t>
      </w:r>
      <w:r w:rsidR="00ED0956">
        <w:rPr>
          <w:sz w:val="22"/>
          <w:szCs w:val="22"/>
        </w:rPr>
        <w:t>ące</w:t>
      </w:r>
      <w:r>
        <w:rPr>
          <w:sz w:val="22"/>
          <w:szCs w:val="22"/>
        </w:rPr>
        <w:t xml:space="preserve"> – 20 punktów. </w:t>
      </w:r>
    </w:p>
    <w:p w14:paraId="46C05CD4" w14:textId="1B3657CD"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36 miesięcy </w:t>
      </w:r>
      <w:r w:rsidR="00BE0AB8">
        <w:rPr>
          <w:sz w:val="22"/>
          <w:szCs w:val="22"/>
        </w:rPr>
        <w:t>-</w:t>
      </w:r>
      <w:r>
        <w:rPr>
          <w:sz w:val="22"/>
          <w:szCs w:val="22"/>
        </w:rPr>
        <w:t xml:space="preserve">- 40 punktów. </w:t>
      </w:r>
    </w:p>
    <w:p w14:paraId="5CB61664" w14:textId="77777777" w:rsidR="005C3D0D" w:rsidRDefault="005C3D0D" w:rsidP="005C3D0D">
      <w:pPr>
        <w:pStyle w:val="Default"/>
        <w:spacing w:line="276" w:lineRule="auto"/>
        <w:rPr>
          <w:sz w:val="22"/>
          <w:szCs w:val="22"/>
        </w:rPr>
      </w:pPr>
      <w:r>
        <w:rPr>
          <w:sz w:val="22"/>
          <w:szCs w:val="22"/>
        </w:rPr>
        <w:t xml:space="preserve">gdzie : </w:t>
      </w:r>
    </w:p>
    <w:p w14:paraId="5085F150" w14:textId="77777777" w:rsidR="005C3D0D" w:rsidRDefault="005C3D0D" w:rsidP="005C3D0D">
      <w:pPr>
        <w:pStyle w:val="Default"/>
        <w:spacing w:line="276" w:lineRule="auto"/>
        <w:rPr>
          <w:sz w:val="22"/>
          <w:szCs w:val="22"/>
        </w:rPr>
      </w:pPr>
      <w:r>
        <w:rPr>
          <w:sz w:val="22"/>
          <w:szCs w:val="22"/>
        </w:rPr>
        <w:t xml:space="preserve">- G – liczba punktów przyznana ocenianej ofercie w ramach kryterium gwarancja , </w:t>
      </w:r>
    </w:p>
    <w:p w14:paraId="3D8774FC" w14:textId="77777777" w:rsidR="005C3D0D" w:rsidRDefault="005C3D0D" w:rsidP="005C3D0D">
      <w:pPr>
        <w:pStyle w:val="Default"/>
        <w:spacing w:line="276" w:lineRule="auto"/>
        <w:rPr>
          <w:sz w:val="22"/>
          <w:szCs w:val="22"/>
        </w:rPr>
      </w:pPr>
      <w:r>
        <w:rPr>
          <w:sz w:val="22"/>
          <w:szCs w:val="22"/>
        </w:rPr>
        <w:t xml:space="preserve">- G max – gwarancja maksymalna w oferowanych ofertach ( nie więcej niż 36 miesięcy), </w:t>
      </w:r>
    </w:p>
    <w:p w14:paraId="109FC91B" w14:textId="7F85EFB0" w:rsidR="005C3D0D" w:rsidRDefault="005C3D0D" w:rsidP="005C3D0D">
      <w:pPr>
        <w:pStyle w:val="Default"/>
        <w:rPr>
          <w:sz w:val="22"/>
          <w:szCs w:val="22"/>
        </w:rPr>
      </w:pPr>
      <w:r>
        <w:rPr>
          <w:sz w:val="22"/>
          <w:szCs w:val="22"/>
        </w:rPr>
        <w:t xml:space="preserve">- </w:t>
      </w:r>
      <w:proofErr w:type="spellStart"/>
      <w:r>
        <w:rPr>
          <w:sz w:val="22"/>
          <w:szCs w:val="22"/>
        </w:rPr>
        <w:t>Gx</w:t>
      </w:r>
      <w:proofErr w:type="spellEnd"/>
      <w:r>
        <w:rPr>
          <w:sz w:val="22"/>
          <w:szCs w:val="22"/>
        </w:rPr>
        <w:t xml:space="preserve"> </w:t>
      </w:r>
      <w:r w:rsidR="00ED0956">
        <w:rPr>
          <w:sz w:val="22"/>
          <w:szCs w:val="22"/>
        </w:rPr>
        <w:t xml:space="preserve">      </w:t>
      </w:r>
      <w:r>
        <w:rPr>
          <w:sz w:val="22"/>
          <w:szCs w:val="22"/>
        </w:rPr>
        <w:t xml:space="preserve">– gwarancja oferowana w badanej ofercie </w:t>
      </w:r>
    </w:p>
    <w:p w14:paraId="5CF2D751" w14:textId="7C23EF84" w:rsidR="005C3D0D" w:rsidRDefault="005C3D0D" w:rsidP="005C3D0D">
      <w:pPr>
        <w:pStyle w:val="Default"/>
        <w:spacing w:line="276" w:lineRule="auto"/>
        <w:rPr>
          <w:sz w:val="22"/>
          <w:szCs w:val="22"/>
        </w:rPr>
      </w:pPr>
      <w:r>
        <w:rPr>
          <w:sz w:val="22"/>
          <w:szCs w:val="22"/>
        </w:rPr>
        <w:br/>
        <w:t xml:space="preserve">Minimalny okres gwarancji wymagany przez Zamawiającego wynosi 12 miesięcy. </w:t>
      </w:r>
    </w:p>
    <w:p w14:paraId="6B3B1557" w14:textId="77777777" w:rsidR="005C3D0D" w:rsidRDefault="005C3D0D" w:rsidP="005C3D0D">
      <w:pPr>
        <w:pStyle w:val="Default"/>
        <w:spacing w:line="276" w:lineRule="auto"/>
        <w:rPr>
          <w:sz w:val="22"/>
          <w:szCs w:val="22"/>
        </w:rPr>
      </w:pPr>
      <w:r>
        <w:rPr>
          <w:sz w:val="22"/>
          <w:szCs w:val="22"/>
        </w:rPr>
        <w:t xml:space="preserve">Okres gwarancji 12 miesięcy (gwarancja wymagana) liczona od dnia odbioru przedmiotu zamówienia nie podlega ocenie przez Zamawiającego – 0 punktów. </w:t>
      </w:r>
    </w:p>
    <w:p w14:paraId="54AE9F6B" w14:textId="5FEB4BEE" w:rsidR="005C3D0D" w:rsidRPr="00ED0956" w:rsidRDefault="005C3D0D" w:rsidP="005C3D0D">
      <w:pPr>
        <w:pStyle w:val="Default"/>
        <w:spacing w:line="276" w:lineRule="auto"/>
        <w:rPr>
          <w:sz w:val="22"/>
          <w:szCs w:val="22"/>
        </w:rPr>
      </w:pPr>
      <w:r w:rsidRPr="00ED0956">
        <w:rPr>
          <w:sz w:val="22"/>
          <w:szCs w:val="22"/>
        </w:rPr>
        <w:t>Zamawiający odrzuci ofertę Wykonawcy, który zadeklaruje okres gwarancji krótszy niż 12 m-</w:t>
      </w:r>
      <w:proofErr w:type="spellStart"/>
      <w:r w:rsidRPr="00ED0956">
        <w:rPr>
          <w:sz w:val="22"/>
          <w:szCs w:val="22"/>
        </w:rPr>
        <w:t>cy</w:t>
      </w:r>
      <w:proofErr w:type="spellEnd"/>
      <w:r w:rsidRPr="00ED0956">
        <w:rPr>
          <w:sz w:val="22"/>
          <w:szCs w:val="22"/>
        </w:rPr>
        <w:t xml:space="preserve">. </w:t>
      </w:r>
      <w:r w:rsidRPr="00ED0956">
        <w:rPr>
          <w:sz w:val="22"/>
          <w:szCs w:val="22"/>
        </w:rPr>
        <w:br/>
        <w:t>W przypadku, gdy Wykonawca zadeklaruje okres gwarancji dłuższy niż 36 m-</w:t>
      </w:r>
      <w:proofErr w:type="spellStart"/>
      <w:r w:rsidRPr="00ED0956">
        <w:rPr>
          <w:sz w:val="22"/>
          <w:szCs w:val="22"/>
        </w:rPr>
        <w:t>cy</w:t>
      </w:r>
      <w:proofErr w:type="spellEnd"/>
      <w:r w:rsidRPr="00ED0956">
        <w:rPr>
          <w:sz w:val="22"/>
          <w:szCs w:val="22"/>
        </w:rPr>
        <w:t xml:space="preserve"> dla potrzeb obliczania punktacji będzie traktowany jak 36 m-</w:t>
      </w:r>
      <w:proofErr w:type="spellStart"/>
      <w:r w:rsidRPr="00ED0956">
        <w:rPr>
          <w:sz w:val="22"/>
          <w:szCs w:val="22"/>
        </w:rPr>
        <w:t>cy</w:t>
      </w:r>
      <w:proofErr w:type="spellEnd"/>
      <w:r w:rsidRPr="00ED0956">
        <w:rPr>
          <w:sz w:val="22"/>
          <w:szCs w:val="22"/>
        </w:rPr>
        <w:t>. W przypadku, gdy Wykonawca nie zadeklaruje okresu gwarancji Zamawiający uzna, że został zaproponowany najkrótszy okres gwarancji wymagany przez Zamawiającego - 12 m-</w:t>
      </w:r>
      <w:proofErr w:type="spellStart"/>
      <w:r w:rsidRPr="00ED0956">
        <w:rPr>
          <w:sz w:val="22"/>
          <w:szCs w:val="22"/>
        </w:rPr>
        <w:t>cy</w:t>
      </w:r>
      <w:proofErr w:type="spellEnd"/>
      <w:r w:rsidRPr="00ED0956">
        <w:rPr>
          <w:sz w:val="22"/>
          <w:szCs w:val="22"/>
        </w:rPr>
        <w:t xml:space="preserve"> i Wykonawca uzyska 0 pkt. </w:t>
      </w:r>
    </w:p>
    <w:p w14:paraId="4A26AC9A" w14:textId="77777777" w:rsidR="005C3D0D" w:rsidRPr="00ED0956" w:rsidRDefault="005C3D0D" w:rsidP="005C3D0D">
      <w:pPr>
        <w:pStyle w:val="Default"/>
        <w:spacing w:line="276" w:lineRule="auto"/>
        <w:rPr>
          <w:sz w:val="22"/>
          <w:szCs w:val="22"/>
        </w:rPr>
      </w:pPr>
      <w:r w:rsidRPr="00ED0956">
        <w:rPr>
          <w:sz w:val="22"/>
          <w:szCs w:val="22"/>
        </w:rPr>
        <w:t xml:space="preserve">Maksymalna ilość punktów, jaką można uzyskać w kryterium gwarancja wynosi 40 </w:t>
      </w:r>
    </w:p>
    <w:p w14:paraId="46C1A34B" w14:textId="77777777" w:rsidR="005C3D0D" w:rsidRDefault="005C3D0D" w:rsidP="00231ABF">
      <w:pPr>
        <w:spacing w:line="240" w:lineRule="auto"/>
        <w:rPr>
          <w:rFonts w:asciiTheme="majorHAnsi" w:eastAsia="Times New Roman" w:hAnsiTheme="majorHAnsi" w:cstheme="majorHAnsi"/>
          <w:b/>
        </w:rPr>
      </w:pPr>
    </w:p>
    <w:p w14:paraId="2DEBA7FB" w14:textId="77777777" w:rsidR="00231ABF"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lastRenderedPageBreak/>
        <w:t>Łączna ocena ofert:</w:t>
      </w:r>
    </w:p>
    <w:p w14:paraId="449822EC"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1B80904D"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2E2CA846"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2405828" w14:textId="77777777" w:rsidR="00231ABF" w:rsidRPr="008E3E4E"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9829805"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20EFF71" w14:textId="77777777" w:rsidR="00231ABF" w:rsidRDefault="00231ABF" w:rsidP="00231ABF">
      <w:pPr>
        <w:pStyle w:val="1"/>
        <w:tabs>
          <w:tab w:val="left" w:pos="12170"/>
        </w:tabs>
        <w:spacing w:line="240" w:lineRule="auto"/>
        <w:ind w:left="0" w:firstLine="0"/>
        <w:rPr>
          <w:rFonts w:ascii="Calibri" w:hAnsi="Calibri"/>
          <w:sz w:val="22"/>
          <w:szCs w:val="22"/>
        </w:rPr>
      </w:pPr>
    </w:p>
    <w:p w14:paraId="4F7FF6A7" w14:textId="764663E7" w:rsidR="004F1185" w:rsidRPr="00F5658F" w:rsidRDefault="00273251" w:rsidP="00161B1F">
      <w:pPr>
        <w:pStyle w:val="Akapitzlist"/>
        <w:spacing w:line="319" w:lineRule="auto"/>
        <w:ind w:left="0"/>
        <w:jc w:val="both"/>
        <w:rPr>
          <w:rFonts w:asciiTheme="majorHAnsi" w:hAnsiTheme="majorHAnsi" w:cstheme="majorHAnsi"/>
        </w:rPr>
      </w:pPr>
      <w:bookmarkStart w:id="38" w:name="_Toc65495866"/>
      <w:bookmarkEnd w:id="37"/>
      <w:r w:rsidRPr="00273251">
        <w:rPr>
          <w:rFonts w:asciiTheme="majorHAnsi" w:hAnsiTheme="majorHAnsi" w:cstheme="majorHAnsi"/>
          <w:b/>
          <w:bCs/>
          <w:sz w:val="24"/>
          <w:szCs w:val="24"/>
        </w:rPr>
        <w:t>XXI. WYMAGANIA DOTYCZĄCE ZABEZPIECZENIA NALEŻYTEGO WYKONANIA UMOWY.</w:t>
      </w:r>
      <w:bookmarkEnd w:id="38"/>
      <w:r w:rsidR="00556783">
        <w:rPr>
          <w:rFonts w:asciiTheme="majorHAnsi" w:hAnsiTheme="majorHAnsi" w:cstheme="majorHAnsi"/>
          <w:b/>
          <w:bCs/>
          <w:sz w:val="24"/>
          <w:szCs w:val="24"/>
        </w:rPr>
        <w:br/>
      </w:r>
      <w:r w:rsidR="00161B1F" w:rsidRPr="00F5658F">
        <w:rPr>
          <w:rFonts w:asciiTheme="majorHAnsi" w:hAnsiTheme="majorHAnsi" w:cstheme="majorHAnsi"/>
        </w:rPr>
        <w:t>Zamawiający nie wymaga wniesienia zabezpieczenia należytego wykonania umowy</w:t>
      </w:r>
      <w:r w:rsidR="00F5658F">
        <w:rPr>
          <w:rFonts w:asciiTheme="majorHAnsi" w:hAnsiTheme="majorHAnsi" w:cstheme="majorHAnsi"/>
        </w:rPr>
        <w:t>.</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39"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3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0" w:name="_Toc65495868"/>
      <w:r w:rsidRPr="00B8688E">
        <w:rPr>
          <w:rFonts w:asciiTheme="majorHAnsi" w:hAnsiTheme="majorHAnsi" w:cstheme="majorHAnsi"/>
          <w:b/>
          <w:bCs/>
          <w:sz w:val="24"/>
          <w:szCs w:val="24"/>
        </w:rPr>
        <w:t>XXIII. INFORMACJE O TREŚCI ZAWIERANEJ UMOWY ORAZ MOŻLIWOŚCI JEJ ZMIANY</w:t>
      </w:r>
      <w:bookmarkEnd w:id="4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E0E096E" w:rsidR="001C5D72" w:rsidRPr="005C3D0D" w:rsidRDefault="00FC4AB9" w:rsidP="002B737E">
      <w:pPr>
        <w:numPr>
          <w:ilvl w:val="3"/>
          <w:numId w:val="9"/>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4B10F8">
        <w:rPr>
          <w:rFonts w:asciiTheme="majorHAnsi" w:hAnsiTheme="majorHAnsi" w:cstheme="majorHAnsi"/>
          <w:bCs/>
          <w:i/>
          <w:iCs/>
        </w:rPr>
        <w:t xml:space="preserve">Załącznik nr </w:t>
      </w:r>
      <w:r w:rsidR="00ED0956" w:rsidRPr="004B10F8">
        <w:rPr>
          <w:rFonts w:asciiTheme="majorHAnsi" w:hAnsiTheme="majorHAnsi" w:cstheme="majorHAnsi"/>
          <w:bCs/>
          <w:i/>
          <w:iCs/>
        </w:rPr>
        <w:t>6</w:t>
      </w:r>
      <w:r w:rsidR="00880A31" w:rsidRPr="004B10F8">
        <w:rPr>
          <w:rFonts w:asciiTheme="majorHAnsi" w:hAnsiTheme="majorHAnsi" w:cstheme="majorHAnsi"/>
          <w:bCs/>
          <w:i/>
          <w:iCs/>
        </w:rPr>
        <w:t xml:space="preserve"> </w:t>
      </w:r>
      <w:r w:rsidRPr="004B10F8">
        <w:rPr>
          <w:rFonts w:asciiTheme="majorHAnsi" w:hAnsiTheme="majorHAnsi" w:cstheme="majorHAnsi"/>
          <w:bCs/>
          <w:i/>
          <w:iCs/>
        </w:rPr>
        <w:t>do SWZ.</w:t>
      </w:r>
    </w:p>
    <w:p w14:paraId="0000012B" w14:textId="77777777"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0000012E" w14:textId="057394E6" w:rsidR="001C5D72" w:rsidRPr="00273251" w:rsidRDefault="00F5658F" w:rsidP="00881111">
      <w:pPr>
        <w:pStyle w:val="Nagwek2"/>
        <w:spacing w:before="0" w:after="0" w:line="319" w:lineRule="auto"/>
        <w:jc w:val="both"/>
        <w:rPr>
          <w:rFonts w:asciiTheme="majorHAnsi" w:hAnsiTheme="majorHAnsi" w:cstheme="majorHAnsi"/>
          <w:b/>
          <w:bCs/>
          <w:sz w:val="24"/>
          <w:szCs w:val="24"/>
        </w:rPr>
      </w:pPr>
      <w:bookmarkStart w:id="41" w:name="_Toc65495869"/>
      <w:r>
        <w:rPr>
          <w:rFonts w:asciiTheme="majorHAnsi" w:hAnsiTheme="majorHAnsi" w:cstheme="majorHAnsi"/>
          <w:b/>
          <w:bCs/>
          <w:sz w:val="24"/>
          <w:szCs w:val="24"/>
        </w:rPr>
        <w:br/>
      </w:r>
      <w:r w:rsidR="00273251" w:rsidRPr="00273251">
        <w:rPr>
          <w:rFonts w:asciiTheme="majorHAnsi" w:hAnsiTheme="majorHAnsi" w:cstheme="majorHAnsi"/>
          <w:b/>
          <w:bCs/>
          <w:sz w:val="24"/>
          <w:szCs w:val="24"/>
        </w:rPr>
        <w:t>XXIV. POUCZENIE O ŚRODKACH OCHRONY PRAWNEJ PRZYSŁUGUJĄCYCH WYKONAWCY</w:t>
      </w:r>
      <w:bookmarkEnd w:id="4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2" w:name="_uarrfy5kozla" w:colFirst="0" w:colLast="0"/>
      <w:bookmarkStart w:id="43" w:name="_Toc65495870"/>
      <w:bookmarkEnd w:id="4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3"/>
    </w:p>
    <w:p w14:paraId="00000153" w14:textId="250329D5" w:rsidR="001C5D72"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Załącznik nr 1 do SWZ</w:t>
      </w:r>
      <w:r w:rsidR="00A87DDA">
        <w:rPr>
          <w:rFonts w:asciiTheme="majorHAnsi" w:hAnsiTheme="majorHAnsi" w:cstheme="majorHAnsi"/>
        </w:rPr>
        <w:t xml:space="preserve"> </w:t>
      </w:r>
      <w:r w:rsidRPr="006D2FF2">
        <w:rPr>
          <w:rFonts w:asciiTheme="majorHAnsi" w:hAnsiTheme="majorHAnsi" w:cstheme="majorHAnsi"/>
        </w:rPr>
        <w:t xml:space="preserve"> </w:t>
      </w:r>
      <w:r w:rsidR="00A87DDA">
        <w:rPr>
          <w:rFonts w:asciiTheme="majorHAnsi" w:hAnsiTheme="majorHAnsi" w:cstheme="majorHAnsi"/>
        </w:rPr>
        <w:t xml:space="preserve"> </w:t>
      </w:r>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F92473" w:rsidRPr="006D2FF2">
        <w:rPr>
          <w:rFonts w:asciiTheme="majorHAnsi" w:hAnsiTheme="majorHAnsi" w:cstheme="majorHAnsi"/>
        </w:rPr>
        <w:t>Formularz ofertowy</w:t>
      </w:r>
      <w:r w:rsidRPr="006D2FF2">
        <w:rPr>
          <w:rFonts w:asciiTheme="majorHAnsi" w:hAnsiTheme="majorHAnsi" w:cstheme="majorHAnsi"/>
        </w:rPr>
        <w:t>.</w:t>
      </w:r>
    </w:p>
    <w:p w14:paraId="6C026166" w14:textId="7A5B8B7D" w:rsidR="001F6724"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Załącznik nr 2 do SWZ</w:t>
      </w:r>
      <w:r w:rsidR="00A87DDA">
        <w:rPr>
          <w:rFonts w:asciiTheme="majorHAnsi" w:hAnsiTheme="majorHAnsi" w:cstheme="majorHAnsi"/>
        </w:rPr>
        <w:t xml:space="preserve"> </w:t>
      </w:r>
      <w:r w:rsidRPr="006D2FF2">
        <w:rPr>
          <w:rFonts w:asciiTheme="majorHAnsi" w:hAnsiTheme="majorHAnsi" w:cstheme="majorHAnsi"/>
        </w:rPr>
        <w:t xml:space="preserve"> </w:t>
      </w:r>
      <w:r w:rsidR="00A87DDA">
        <w:rPr>
          <w:rFonts w:asciiTheme="majorHAnsi" w:hAnsiTheme="majorHAnsi" w:cstheme="majorHAnsi"/>
        </w:rPr>
        <w:t xml:space="preserve"> </w:t>
      </w:r>
      <w:r w:rsidRPr="006D2FF2">
        <w:rPr>
          <w:rFonts w:asciiTheme="majorHAnsi" w:hAnsiTheme="majorHAnsi" w:cstheme="majorHAnsi"/>
        </w:rPr>
        <w:t xml:space="preserve">- </w:t>
      </w:r>
      <w:r w:rsidR="003E7184"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994F56" w:rsidRPr="006D2FF2">
        <w:rPr>
          <w:rFonts w:asciiTheme="majorHAnsi" w:hAnsiTheme="majorHAnsi" w:cstheme="majorHAnsi"/>
        </w:rPr>
        <w:t>Oświadczenie o spełnieniu warunków udziału w postepowaniu</w:t>
      </w:r>
    </w:p>
    <w:p w14:paraId="6D37C904" w14:textId="7F730389" w:rsidR="00643072" w:rsidRPr="006D2FF2" w:rsidRDefault="00880A31" w:rsidP="00BC0856">
      <w:pPr>
        <w:spacing w:line="319" w:lineRule="auto"/>
        <w:rPr>
          <w:rFonts w:asciiTheme="majorHAnsi" w:hAnsiTheme="majorHAnsi" w:cstheme="majorHAnsi"/>
        </w:rPr>
      </w:pPr>
      <w:bookmarkStart w:id="44" w:name="_Hlk81224237"/>
      <w:r w:rsidRPr="006D2FF2">
        <w:rPr>
          <w:rFonts w:asciiTheme="majorHAnsi" w:hAnsiTheme="majorHAnsi" w:cstheme="majorHAnsi"/>
        </w:rPr>
        <w:lastRenderedPageBreak/>
        <w:t>Załącznik nr 3 do SWZ</w:t>
      </w:r>
      <w:r w:rsidR="00A87DDA">
        <w:rPr>
          <w:rFonts w:asciiTheme="majorHAnsi" w:hAnsiTheme="majorHAnsi" w:cstheme="majorHAnsi"/>
        </w:rPr>
        <w:t xml:space="preserve"> </w:t>
      </w:r>
      <w:r w:rsidRPr="006D2FF2">
        <w:rPr>
          <w:rFonts w:asciiTheme="majorHAnsi" w:hAnsiTheme="majorHAnsi" w:cstheme="majorHAnsi"/>
        </w:rPr>
        <w:t xml:space="preserve"> </w:t>
      </w:r>
      <w:bookmarkEnd w:id="44"/>
      <w:r w:rsidR="00A87DDA">
        <w:rPr>
          <w:rFonts w:asciiTheme="majorHAnsi" w:hAnsiTheme="majorHAnsi" w:cstheme="majorHAnsi"/>
        </w:rPr>
        <w:t xml:space="preserve"> </w:t>
      </w:r>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7839A2" w:rsidRPr="006D2FF2">
        <w:rPr>
          <w:rFonts w:asciiTheme="majorHAnsi" w:hAnsiTheme="majorHAnsi" w:cstheme="majorHAnsi"/>
        </w:rPr>
        <w:t xml:space="preserve">Oświadczenie Wykonawcy </w:t>
      </w:r>
      <w:r w:rsidR="00CD6886" w:rsidRPr="006D2FF2">
        <w:rPr>
          <w:rFonts w:asciiTheme="majorHAnsi" w:hAnsiTheme="majorHAnsi" w:cstheme="majorHAnsi"/>
        </w:rPr>
        <w:t xml:space="preserve"> o braku podstaw wykluczenia .</w:t>
      </w:r>
    </w:p>
    <w:p w14:paraId="00000155" w14:textId="6F1AE3BB" w:rsidR="001C5D72" w:rsidRPr="006D2FF2" w:rsidRDefault="00B14FFA" w:rsidP="00096031">
      <w:pPr>
        <w:spacing w:line="319" w:lineRule="auto"/>
        <w:rPr>
          <w:rFonts w:asciiTheme="majorHAnsi" w:hAnsiTheme="majorHAnsi" w:cstheme="majorHAnsi"/>
        </w:rPr>
      </w:pPr>
      <w:r w:rsidRPr="006D2FF2">
        <w:rPr>
          <w:rFonts w:asciiTheme="majorHAnsi" w:hAnsiTheme="majorHAnsi" w:cstheme="majorHAnsi"/>
        </w:rPr>
        <w:t xml:space="preserve">Załącznik nr </w:t>
      </w:r>
      <w:r w:rsidR="00612323">
        <w:rPr>
          <w:rFonts w:asciiTheme="majorHAnsi" w:hAnsiTheme="majorHAnsi" w:cstheme="majorHAnsi"/>
        </w:rPr>
        <w:t>4</w:t>
      </w:r>
      <w:r w:rsidRPr="006D2FF2">
        <w:rPr>
          <w:rFonts w:asciiTheme="majorHAnsi" w:hAnsiTheme="majorHAnsi" w:cstheme="majorHAnsi"/>
        </w:rPr>
        <w:t xml:space="preserve"> do SWZ </w:t>
      </w:r>
      <w:r w:rsidR="00A87DDA">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Wzór umowy.</w:t>
      </w:r>
    </w:p>
    <w:sectPr w:rsidR="001C5D72" w:rsidRPr="006D2FF2" w:rsidSect="004E3666">
      <w:footerReference w:type="default" r:id="rId36"/>
      <w:pgSz w:w="11909" w:h="16834"/>
      <w:pgMar w:top="-709"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408218AC"/>
    <w:lvl w:ilvl="0">
      <w:start w:val="1"/>
      <w:numFmt w:val="decimal"/>
      <w:lvlText w:val="%1."/>
      <w:lvlJc w:val="left"/>
      <w:pPr>
        <w:ind w:left="360"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E1BE4"/>
    <w:multiLevelType w:val="hybridMultilevel"/>
    <w:tmpl w:val="573C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33B31F12"/>
    <w:multiLevelType w:val="multilevel"/>
    <w:tmpl w:val="773CD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093F55"/>
    <w:multiLevelType w:val="multilevel"/>
    <w:tmpl w:val="35B003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9A20131"/>
    <w:multiLevelType w:val="multilevel"/>
    <w:tmpl w:val="CBC287F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6A017432"/>
    <w:multiLevelType w:val="hybridMultilevel"/>
    <w:tmpl w:val="A2483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9339395">
    <w:abstractNumId w:val="3"/>
  </w:num>
  <w:num w:numId="2" w16cid:durableId="285894565">
    <w:abstractNumId w:val="12"/>
  </w:num>
  <w:num w:numId="3" w16cid:durableId="1063481163">
    <w:abstractNumId w:val="30"/>
  </w:num>
  <w:num w:numId="4" w16cid:durableId="1290472615">
    <w:abstractNumId w:val="20"/>
  </w:num>
  <w:num w:numId="5" w16cid:durableId="1054738978">
    <w:abstractNumId w:val="24"/>
  </w:num>
  <w:num w:numId="6" w16cid:durableId="1470857170">
    <w:abstractNumId w:val="6"/>
  </w:num>
  <w:num w:numId="7" w16cid:durableId="1740518277">
    <w:abstractNumId w:val="5"/>
  </w:num>
  <w:num w:numId="8" w16cid:durableId="1451243465">
    <w:abstractNumId w:val="9"/>
  </w:num>
  <w:num w:numId="9" w16cid:durableId="1800686668">
    <w:abstractNumId w:val="22"/>
  </w:num>
  <w:num w:numId="10" w16cid:durableId="1591892570">
    <w:abstractNumId w:val="0"/>
  </w:num>
  <w:num w:numId="11" w16cid:durableId="1972519108">
    <w:abstractNumId w:val="23"/>
  </w:num>
  <w:num w:numId="12" w16cid:durableId="722799021">
    <w:abstractNumId w:val="13"/>
  </w:num>
  <w:num w:numId="13" w16cid:durableId="1392540044">
    <w:abstractNumId w:val="29"/>
  </w:num>
  <w:num w:numId="14" w16cid:durableId="618923213">
    <w:abstractNumId w:val="14"/>
  </w:num>
  <w:num w:numId="15" w16cid:durableId="1944991546">
    <w:abstractNumId w:val="16"/>
  </w:num>
  <w:num w:numId="16" w16cid:durableId="835414878">
    <w:abstractNumId w:val="26"/>
  </w:num>
  <w:num w:numId="17" w16cid:durableId="1947498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777763">
    <w:abstractNumId w:val="8"/>
  </w:num>
  <w:num w:numId="19" w16cid:durableId="1609697890">
    <w:abstractNumId w:val="2"/>
  </w:num>
  <w:num w:numId="20" w16cid:durableId="1079060089">
    <w:abstractNumId w:val="15"/>
  </w:num>
  <w:num w:numId="21" w16cid:durableId="1098449408">
    <w:abstractNumId w:val="10"/>
  </w:num>
  <w:num w:numId="22" w16cid:durableId="711224311">
    <w:abstractNumId w:val="28"/>
  </w:num>
  <w:num w:numId="23" w16cid:durableId="601452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193004">
    <w:abstractNumId w:val="7"/>
  </w:num>
  <w:num w:numId="25" w16cid:durableId="225338864">
    <w:abstractNumId w:val="19"/>
  </w:num>
  <w:num w:numId="26" w16cid:durableId="268700878">
    <w:abstractNumId w:val="4"/>
  </w:num>
  <w:num w:numId="27" w16cid:durableId="987828833">
    <w:abstractNumId w:val="21"/>
  </w:num>
  <w:num w:numId="28" w16cid:durableId="1721441442">
    <w:abstractNumId w:val="11"/>
  </w:num>
  <w:num w:numId="29" w16cid:durableId="1413502011">
    <w:abstractNumId w:val="18"/>
  </w:num>
  <w:num w:numId="30" w16cid:durableId="1621256048">
    <w:abstractNumId w:val="25"/>
  </w:num>
  <w:num w:numId="31" w16cid:durableId="21351290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C6BE1"/>
    <w:rsid w:val="000C7118"/>
    <w:rsid w:val="000D6D69"/>
    <w:rsid w:val="000E62AA"/>
    <w:rsid w:val="000F37D7"/>
    <w:rsid w:val="000F3D8A"/>
    <w:rsid w:val="000F5FAD"/>
    <w:rsid w:val="00100D8A"/>
    <w:rsid w:val="00102D43"/>
    <w:rsid w:val="00105937"/>
    <w:rsid w:val="001107AD"/>
    <w:rsid w:val="00117A01"/>
    <w:rsid w:val="001269F3"/>
    <w:rsid w:val="0013319A"/>
    <w:rsid w:val="0013799C"/>
    <w:rsid w:val="00137E12"/>
    <w:rsid w:val="00141B27"/>
    <w:rsid w:val="0014251B"/>
    <w:rsid w:val="0014258D"/>
    <w:rsid w:val="00146FB3"/>
    <w:rsid w:val="00155588"/>
    <w:rsid w:val="00161B1F"/>
    <w:rsid w:val="00173C78"/>
    <w:rsid w:val="001755AA"/>
    <w:rsid w:val="001767E2"/>
    <w:rsid w:val="0017788B"/>
    <w:rsid w:val="001823E0"/>
    <w:rsid w:val="00185789"/>
    <w:rsid w:val="00185BCC"/>
    <w:rsid w:val="00187325"/>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05E2"/>
    <w:rsid w:val="002034A6"/>
    <w:rsid w:val="0020445E"/>
    <w:rsid w:val="00206E26"/>
    <w:rsid w:val="00210F4B"/>
    <w:rsid w:val="0021411E"/>
    <w:rsid w:val="00217FF0"/>
    <w:rsid w:val="002209E9"/>
    <w:rsid w:val="00221970"/>
    <w:rsid w:val="002220AF"/>
    <w:rsid w:val="00226899"/>
    <w:rsid w:val="0023142D"/>
    <w:rsid w:val="00231ABF"/>
    <w:rsid w:val="00233AAC"/>
    <w:rsid w:val="00235EBE"/>
    <w:rsid w:val="002409D3"/>
    <w:rsid w:val="00244DE0"/>
    <w:rsid w:val="00245778"/>
    <w:rsid w:val="00245989"/>
    <w:rsid w:val="002475D6"/>
    <w:rsid w:val="00261B39"/>
    <w:rsid w:val="002645CD"/>
    <w:rsid w:val="00271168"/>
    <w:rsid w:val="00273251"/>
    <w:rsid w:val="0027689C"/>
    <w:rsid w:val="00281381"/>
    <w:rsid w:val="00284068"/>
    <w:rsid w:val="00286D4A"/>
    <w:rsid w:val="00287869"/>
    <w:rsid w:val="002936C3"/>
    <w:rsid w:val="00294ADE"/>
    <w:rsid w:val="0029591D"/>
    <w:rsid w:val="00296060"/>
    <w:rsid w:val="002A1844"/>
    <w:rsid w:val="002A2DE0"/>
    <w:rsid w:val="002A37F3"/>
    <w:rsid w:val="002A4E12"/>
    <w:rsid w:val="002B307A"/>
    <w:rsid w:val="002B737E"/>
    <w:rsid w:val="002B75A1"/>
    <w:rsid w:val="002C130E"/>
    <w:rsid w:val="002C2094"/>
    <w:rsid w:val="002C40C0"/>
    <w:rsid w:val="002D3208"/>
    <w:rsid w:val="002D6177"/>
    <w:rsid w:val="002D7298"/>
    <w:rsid w:val="002E108D"/>
    <w:rsid w:val="002E497D"/>
    <w:rsid w:val="002E6BFC"/>
    <w:rsid w:val="002F1F88"/>
    <w:rsid w:val="002F286A"/>
    <w:rsid w:val="002F2954"/>
    <w:rsid w:val="002F2D26"/>
    <w:rsid w:val="00301B0F"/>
    <w:rsid w:val="00305B1B"/>
    <w:rsid w:val="003202F4"/>
    <w:rsid w:val="00326C6A"/>
    <w:rsid w:val="00326F74"/>
    <w:rsid w:val="00344DDF"/>
    <w:rsid w:val="003467F4"/>
    <w:rsid w:val="003557B0"/>
    <w:rsid w:val="003567CC"/>
    <w:rsid w:val="00361680"/>
    <w:rsid w:val="003654F0"/>
    <w:rsid w:val="00377F18"/>
    <w:rsid w:val="00380FBE"/>
    <w:rsid w:val="0038543F"/>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1F4F"/>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175B"/>
    <w:rsid w:val="00483137"/>
    <w:rsid w:val="004837CA"/>
    <w:rsid w:val="00483B8D"/>
    <w:rsid w:val="00491604"/>
    <w:rsid w:val="004959CE"/>
    <w:rsid w:val="004A400F"/>
    <w:rsid w:val="004A56C0"/>
    <w:rsid w:val="004A7B2C"/>
    <w:rsid w:val="004B10F8"/>
    <w:rsid w:val="004B2AD0"/>
    <w:rsid w:val="004B5B12"/>
    <w:rsid w:val="004C2E0A"/>
    <w:rsid w:val="004C3F3B"/>
    <w:rsid w:val="004C76C6"/>
    <w:rsid w:val="004D402D"/>
    <w:rsid w:val="004D51CB"/>
    <w:rsid w:val="004E12B0"/>
    <w:rsid w:val="004E3666"/>
    <w:rsid w:val="004F1185"/>
    <w:rsid w:val="004F2658"/>
    <w:rsid w:val="004F27A5"/>
    <w:rsid w:val="004F3ECF"/>
    <w:rsid w:val="004F4151"/>
    <w:rsid w:val="004F5978"/>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45064"/>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3D0D"/>
    <w:rsid w:val="005C65DF"/>
    <w:rsid w:val="005C72C6"/>
    <w:rsid w:val="005C7532"/>
    <w:rsid w:val="005D5C0F"/>
    <w:rsid w:val="005E6EF7"/>
    <w:rsid w:val="005F1422"/>
    <w:rsid w:val="005F18F1"/>
    <w:rsid w:val="005F619F"/>
    <w:rsid w:val="00602867"/>
    <w:rsid w:val="006116B3"/>
    <w:rsid w:val="00612323"/>
    <w:rsid w:val="00612559"/>
    <w:rsid w:val="00621B1D"/>
    <w:rsid w:val="00632910"/>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4D15"/>
    <w:rsid w:val="006C5D5B"/>
    <w:rsid w:val="006D2FF2"/>
    <w:rsid w:val="006E3414"/>
    <w:rsid w:val="006E5E51"/>
    <w:rsid w:val="006F247A"/>
    <w:rsid w:val="006F2D3A"/>
    <w:rsid w:val="006F3478"/>
    <w:rsid w:val="006F35DC"/>
    <w:rsid w:val="006F3FEB"/>
    <w:rsid w:val="006F488A"/>
    <w:rsid w:val="00703329"/>
    <w:rsid w:val="00703D85"/>
    <w:rsid w:val="00705B71"/>
    <w:rsid w:val="007106D1"/>
    <w:rsid w:val="00715F9E"/>
    <w:rsid w:val="0071612B"/>
    <w:rsid w:val="00720175"/>
    <w:rsid w:val="00722BB3"/>
    <w:rsid w:val="00723D38"/>
    <w:rsid w:val="00723D90"/>
    <w:rsid w:val="00723F94"/>
    <w:rsid w:val="007325D7"/>
    <w:rsid w:val="00735A3B"/>
    <w:rsid w:val="007412C5"/>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51E6"/>
    <w:rsid w:val="007F7C70"/>
    <w:rsid w:val="00803365"/>
    <w:rsid w:val="00804F73"/>
    <w:rsid w:val="00805237"/>
    <w:rsid w:val="00813FD8"/>
    <w:rsid w:val="0082243F"/>
    <w:rsid w:val="00826B05"/>
    <w:rsid w:val="00826DC8"/>
    <w:rsid w:val="008329AE"/>
    <w:rsid w:val="00835D88"/>
    <w:rsid w:val="00842297"/>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3768"/>
    <w:rsid w:val="008A3C74"/>
    <w:rsid w:val="008A3EE9"/>
    <w:rsid w:val="008A7CB3"/>
    <w:rsid w:val="008B2621"/>
    <w:rsid w:val="008B2703"/>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7C88"/>
    <w:rsid w:val="00952663"/>
    <w:rsid w:val="00952B13"/>
    <w:rsid w:val="00954767"/>
    <w:rsid w:val="00956FEC"/>
    <w:rsid w:val="009577B3"/>
    <w:rsid w:val="00961F0D"/>
    <w:rsid w:val="00963100"/>
    <w:rsid w:val="00963D1E"/>
    <w:rsid w:val="0097181C"/>
    <w:rsid w:val="00971BD2"/>
    <w:rsid w:val="00976D61"/>
    <w:rsid w:val="00980F58"/>
    <w:rsid w:val="00982CA1"/>
    <w:rsid w:val="00994206"/>
    <w:rsid w:val="00994F56"/>
    <w:rsid w:val="009A31BF"/>
    <w:rsid w:val="009A3F1D"/>
    <w:rsid w:val="009A4AE7"/>
    <w:rsid w:val="009A6C15"/>
    <w:rsid w:val="009A74E5"/>
    <w:rsid w:val="009B14B7"/>
    <w:rsid w:val="009B34E2"/>
    <w:rsid w:val="009D2556"/>
    <w:rsid w:val="009E0ABF"/>
    <w:rsid w:val="009E3DDB"/>
    <w:rsid w:val="009E718F"/>
    <w:rsid w:val="009F5BD3"/>
    <w:rsid w:val="009F7BA4"/>
    <w:rsid w:val="00A010D1"/>
    <w:rsid w:val="00A053F4"/>
    <w:rsid w:val="00A10674"/>
    <w:rsid w:val="00A10797"/>
    <w:rsid w:val="00A12C43"/>
    <w:rsid w:val="00A258D6"/>
    <w:rsid w:val="00A32ACB"/>
    <w:rsid w:val="00A33B8E"/>
    <w:rsid w:val="00A43881"/>
    <w:rsid w:val="00A45459"/>
    <w:rsid w:val="00A461C1"/>
    <w:rsid w:val="00A47080"/>
    <w:rsid w:val="00A64FB0"/>
    <w:rsid w:val="00A65E48"/>
    <w:rsid w:val="00A75023"/>
    <w:rsid w:val="00A813CF"/>
    <w:rsid w:val="00A85494"/>
    <w:rsid w:val="00A87DDA"/>
    <w:rsid w:val="00A96A80"/>
    <w:rsid w:val="00AA04E6"/>
    <w:rsid w:val="00AB2A63"/>
    <w:rsid w:val="00AB6394"/>
    <w:rsid w:val="00AC1B9C"/>
    <w:rsid w:val="00AC5260"/>
    <w:rsid w:val="00AD0456"/>
    <w:rsid w:val="00AE5359"/>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702C"/>
    <w:rsid w:val="00B6769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0AB8"/>
    <w:rsid w:val="00BE1695"/>
    <w:rsid w:val="00BE2C1F"/>
    <w:rsid w:val="00BE42C6"/>
    <w:rsid w:val="00C02601"/>
    <w:rsid w:val="00C03A86"/>
    <w:rsid w:val="00C23CFA"/>
    <w:rsid w:val="00C26AD2"/>
    <w:rsid w:val="00C27275"/>
    <w:rsid w:val="00C303E4"/>
    <w:rsid w:val="00C35BEF"/>
    <w:rsid w:val="00C410BA"/>
    <w:rsid w:val="00C41890"/>
    <w:rsid w:val="00C42A24"/>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6D05"/>
    <w:rsid w:val="00C77CD6"/>
    <w:rsid w:val="00C8122C"/>
    <w:rsid w:val="00C91A2B"/>
    <w:rsid w:val="00C9460E"/>
    <w:rsid w:val="00CA459A"/>
    <w:rsid w:val="00CA7098"/>
    <w:rsid w:val="00CB256B"/>
    <w:rsid w:val="00CB268F"/>
    <w:rsid w:val="00CB2AF5"/>
    <w:rsid w:val="00CB66A8"/>
    <w:rsid w:val="00CC4A0C"/>
    <w:rsid w:val="00CC4DE6"/>
    <w:rsid w:val="00CC4F47"/>
    <w:rsid w:val="00CD06EC"/>
    <w:rsid w:val="00CD26BA"/>
    <w:rsid w:val="00CD293D"/>
    <w:rsid w:val="00CD29A3"/>
    <w:rsid w:val="00CD4D64"/>
    <w:rsid w:val="00CD6886"/>
    <w:rsid w:val="00CD76EA"/>
    <w:rsid w:val="00CE0F00"/>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84F86"/>
    <w:rsid w:val="00D96EA2"/>
    <w:rsid w:val="00DA1F6E"/>
    <w:rsid w:val="00DB0697"/>
    <w:rsid w:val="00DB63FF"/>
    <w:rsid w:val="00DC1E2F"/>
    <w:rsid w:val="00DC2C9E"/>
    <w:rsid w:val="00DC2CBA"/>
    <w:rsid w:val="00DC3BB0"/>
    <w:rsid w:val="00DC462A"/>
    <w:rsid w:val="00DD52B3"/>
    <w:rsid w:val="00DD5CCF"/>
    <w:rsid w:val="00DD64A6"/>
    <w:rsid w:val="00DD79DA"/>
    <w:rsid w:val="00DE2D91"/>
    <w:rsid w:val="00DE36D5"/>
    <w:rsid w:val="00DE40E4"/>
    <w:rsid w:val="00DE7695"/>
    <w:rsid w:val="00DF1295"/>
    <w:rsid w:val="00DF5FBA"/>
    <w:rsid w:val="00E019DE"/>
    <w:rsid w:val="00E027B4"/>
    <w:rsid w:val="00E144DF"/>
    <w:rsid w:val="00E20388"/>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83FED"/>
    <w:rsid w:val="00E937B0"/>
    <w:rsid w:val="00E93BFA"/>
    <w:rsid w:val="00E9545A"/>
    <w:rsid w:val="00EA572A"/>
    <w:rsid w:val="00EA5D61"/>
    <w:rsid w:val="00EB2D86"/>
    <w:rsid w:val="00EB3CA2"/>
    <w:rsid w:val="00EB52E8"/>
    <w:rsid w:val="00EB5EE9"/>
    <w:rsid w:val="00EB6538"/>
    <w:rsid w:val="00EC1943"/>
    <w:rsid w:val="00EC5F8D"/>
    <w:rsid w:val="00ED0956"/>
    <w:rsid w:val="00ED1EB5"/>
    <w:rsid w:val="00ED44CC"/>
    <w:rsid w:val="00EE4FC1"/>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DD1"/>
    <w:rsid w:val="00F55B55"/>
    <w:rsid w:val="00F5658F"/>
    <w:rsid w:val="00F56A30"/>
    <w:rsid w:val="00F57320"/>
    <w:rsid w:val="00F62D2F"/>
    <w:rsid w:val="00F67F03"/>
    <w:rsid w:val="00F70B8B"/>
    <w:rsid w:val="00F74880"/>
    <w:rsid w:val="00F76792"/>
    <w:rsid w:val="00F842E6"/>
    <w:rsid w:val="00F861AC"/>
    <w:rsid w:val="00F9145C"/>
    <w:rsid w:val="00F92473"/>
    <w:rsid w:val="00F9411D"/>
    <w:rsid w:val="00FA2868"/>
    <w:rsid w:val="00FA3A10"/>
    <w:rsid w:val="00FA680C"/>
    <w:rsid w:val="00FA7219"/>
    <w:rsid w:val="00FB2495"/>
    <w:rsid w:val="00FB404F"/>
    <w:rsid w:val="00FB5323"/>
    <w:rsid w:val="00FB6B65"/>
    <w:rsid w:val="00FC14DE"/>
    <w:rsid w:val="00FC4AB9"/>
    <w:rsid w:val="00FC563D"/>
    <w:rsid w:val="00FC7794"/>
    <w:rsid w:val="00FD0C15"/>
    <w:rsid w:val="00FD4563"/>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D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Default">
    <w:name w:val="Default"/>
    <w:rsid w:val="005C3D0D"/>
    <w:pPr>
      <w:autoSpaceDE w:val="0"/>
      <w:autoSpaceDN w:val="0"/>
      <w:adjustRightInd w:val="0"/>
      <w:spacing w:line="240" w:lineRule="auto"/>
    </w:pPr>
    <w:rPr>
      <w:rFonts w:ascii="Calibri" w:hAnsi="Calibri" w:cs="Calibri"/>
      <w:color w:val="000000"/>
      <w:sz w:val="24"/>
      <w:szCs w:val="24"/>
      <w:lang w:val="pl-PL"/>
    </w:rPr>
  </w:style>
  <w:style w:type="paragraph" w:styleId="Bezodstpw">
    <w:name w:val="No Spacing"/>
    <w:link w:val="BezodstpwZnak"/>
    <w:uiPriority w:val="1"/>
    <w:qFormat/>
    <w:rsid w:val="00187325"/>
    <w:pPr>
      <w:widowControl w:val="0"/>
      <w:spacing w:line="240" w:lineRule="auto"/>
    </w:pPr>
    <w:rPr>
      <w:rFonts w:ascii="Calibri" w:eastAsia="Calibri" w:hAnsi="Calibri" w:cs="Times New Roman"/>
      <w:lang w:val="pl-PL" w:eastAsia="en-US"/>
    </w:rPr>
  </w:style>
  <w:style w:type="character" w:customStyle="1" w:styleId="BezodstpwZnak">
    <w:name w:val="Bez odstępów Znak"/>
    <w:link w:val="Bezodstpw"/>
    <w:uiPriority w:val="1"/>
    <w:qFormat/>
    <w:locked/>
    <w:rsid w:val="00187325"/>
    <w:rPr>
      <w:rFonts w:ascii="Calibri" w:eastAsia="Calibri"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754080762">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o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opold.wiorek@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mailto:halina.wroniecka@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8124</Words>
  <Characters>48745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9</cp:revision>
  <cp:lastPrinted>2022-01-24T14:20:00Z</cp:lastPrinted>
  <dcterms:created xsi:type="dcterms:W3CDTF">2023-09-25T14:45:00Z</dcterms:created>
  <dcterms:modified xsi:type="dcterms:W3CDTF">2023-10-17T13:15:00Z</dcterms:modified>
</cp:coreProperties>
</file>