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153CD" w14:textId="484167FB" w:rsidR="00C957E3" w:rsidRPr="003629F7" w:rsidRDefault="00C957E3" w:rsidP="00C957E3">
      <w:pPr>
        <w:pStyle w:val="Akapitzlist"/>
        <w:widowControl w:val="0"/>
        <w:tabs>
          <w:tab w:val="left" w:pos="0"/>
        </w:tabs>
        <w:autoSpaceDE w:val="0"/>
        <w:autoSpaceDN w:val="0"/>
        <w:adjustRightInd w:val="0"/>
        <w:spacing w:after="0" w:line="276" w:lineRule="auto"/>
        <w:jc w:val="center"/>
        <w:rPr>
          <w:rFonts w:cs="Calibri"/>
          <w:b/>
          <w:bCs/>
        </w:rPr>
      </w:pPr>
      <w:r w:rsidRPr="003629F7">
        <w:rPr>
          <w:rFonts w:cs="Calibri"/>
          <w:b/>
          <w:bCs/>
        </w:rPr>
        <w:t xml:space="preserve"> Klauzule waloryzacyjne</w:t>
      </w:r>
    </w:p>
    <w:p w14:paraId="79B8B350" w14:textId="77777777" w:rsidR="00C957E3" w:rsidRPr="003629F7" w:rsidRDefault="00C957E3" w:rsidP="00C957E3">
      <w:pPr>
        <w:pStyle w:val="Akapitzlist"/>
        <w:widowControl w:val="0"/>
        <w:tabs>
          <w:tab w:val="left" w:pos="0"/>
        </w:tabs>
        <w:autoSpaceDE w:val="0"/>
        <w:autoSpaceDN w:val="0"/>
        <w:adjustRightInd w:val="0"/>
        <w:spacing w:after="0" w:line="276" w:lineRule="auto"/>
        <w:rPr>
          <w:rFonts w:cs="Calibri"/>
        </w:rPr>
      </w:pPr>
      <w:r w:rsidRPr="003629F7">
        <w:rPr>
          <w:rFonts w:cs="Calibri"/>
          <w:b/>
          <w:bCs/>
        </w:rPr>
        <w:t>(w przypadku zmiany ceny materiałów lub kosztów związanych z realizacją Umowy)</w:t>
      </w:r>
    </w:p>
    <w:p w14:paraId="3DC40E15" w14:textId="77777777" w:rsidR="00C957E3" w:rsidRPr="003629F7" w:rsidRDefault="00C957E3" w:rsidP="00C957E3">
      <w:pPr>
        <w:widowControl w:val="0"/>
        <w:tabs>
          <w:tab w:val="left" w:pos="426"/>
        </w:tabs>
        <w:autoSpaceDE w:val="0"/>
        <w:autoSpaceDN w:val="0"/>
        <w:adjustRightInd w:val="0"/>
        <w:spacing w:line="276" w:lineRule="auto"/>
        <w:ind w:left="389"/>
        <w:rPr>
          <w:rFonts w:cs="Calibri"/>
          <w:sz w:val="22"/>
          <w:szCs w:val="22"/>
          <w:lang w:eastAsia="ar-SA"/>
        </w:rPr>
      </w:pPr>
    </w:p>
    <w:p w14:paraId="255D0596" w14:textId="77777777" w:rsidR="00C957E3" w:rsidRPr="003629F7" w:rsidRDefault="00C957E3" w:rsidP="00C957E3">
      <w:pPr>
        <w:widowControl w:val="0"/>
        <w:numPr>
          <w:ilvl w:val="0"/>
          <w:numId w:val="2"/>
        </w:numPr>
        <w:tabs>
          <w:tab w:val="left" w:pos="426"/>
        </w:tabs>
        <w:autoSpaceDE w:val="0"/>
        <w:autoSpaceDN w:val="0"/>
        <w:adjustRightInd w:val="0"/>
        <w:spacing w:line="276" w:lineRule="auto"/>
        <w:ind w:left="426"/>
        <w:rPr>
          <w:rFonts w:eastAsia="Calibri" w:cs="Calibri"/>
          <w:sz w:val="22"/>
          <w:szCs w:val="22"/>
        </w:rPr>
      </w:pPr>
      <w:r w:rsidRPr="003629F7">
        <w:rPr>
          <w:rFonts w:eastAsia="Palatino Linotype" w:cs="Calibri"/>
          <w:sz w:val="22"/>
          <w:szCs w:val="22"/>
          <w:lang w:eastAsia="ar-SA"/>
        </w:rPr>
        <w:t>Zgodnie z art. 439 ust. 1 ustawy Prawo zamówień publicznych,</w:t>
      </w:r>
      <w:r w:rsidRPr="003629F7">
        <w:rPr>
          <w:rFonts w:eastAsia="Calibri" w:cs="Calibri"/>
          <w:sz w:val="22"/>
          <w:szCs w:val="22"/>
        </w:rPr>
        <w:t xml:space="preserve"> Strony przewidują możliwość zmiany wynagrodzenia należnego Wykonawcy, o którym mowa w § </w:t>
      </w:r>
      <w:r>
        <w:rPr>
          <w:rFonts w:eastAsia="Calibri" w:cs="Calibri"/>
          <w:sz w:val="22"/>
          <w:szCs w:val="22"/>
        </w:rPr>
        <w:t>9</w:t>
      </w:r>
      <w:r w:rsidRPr="003629F7">
        <w:rPr>
          <w:rFonts w:eastAsia="Calibri" w:cs="Calibri"/>
          <w:sz w:val="22"/>
          <w:szCs w:val="22"/>
        </w:rPr>
        <w:t xml:space="preserve"> ust. </w:t>
      </w:r>
      <w:r>
        <w:rPr>
          <w:rFonts w:eastAsia="Calibri" w:cs="Calibri"/>
          <w:sz w:val="22"/>
          <w:szCs w:val="22"/>
        </w:rPr>
        <w:t>2</w:t>
      </w:r>
      <w:r w:rsidRPr="003629F7">
        <w:rPr>
          <w:rFonts w:eastAsia="Calibri" w:cs="Calibri"/>
          <w:sz w:val="22"/>
          <w:szCs w:val="22"/>
        </w:rPr>
        <w:t xml:space="preserve">  w przypadku udokumentowanych zmian ceny materiałów lub kosztów związanych z realizacją Umowy. </w:t>
      </w:r>
    </w:p>
    <w:p w14:paraId="7CAC09AE" w14:textId="77777777" w:rsidR="00C957E3" w:rsidRPr="003629F7" w:rsidRDefault="00C957E3" w:rsidP="00C957E3">
      <w:pPr>
        <w:widowControl w:val="0"/>
        <w:numPr>
          <w:ilvl w:val="0"/>
          <w:numId w:val="2"/>
        </w:numPr>
        <w:tabs>
          <w:tab w:val="left" w:pos="426"/>
        </w:tabs>
        <w:autoSpaceDE w:val="0"/>
        <w:autoSpaceDN w:val="0"/>
        <w:adjustRightInd w:val="0"/>
        <w:spacing w:line="276" w:lineRule="auto"/>
        <w:ind w:left="356" w:hangingChars="162" w:hanging="356"/>
        <w:rPr>
          <w:rFonts w:eastAsia="Calibri" w:cs="Calibri"/>
          <w:sz w:val="22"/>
          <w:szCs w:val="22"/>
        </w:rPr>
      </w:pPr>
      <w:r w:rsidRPr="003629F7">
        <w:rPr>
          <w:rFonts w:eastAsia="Calibri" w:cs="Calibri"/>
          <w:sz w:val="22"/>
          <w:szCs w:val="22"/>
        </w:rPr>
        <w:t xml:space="preserve">Pierwsza zmiana wynagrodzenia, o której mowa w ust. 1 może nastąpić najwcześniej po upływie 6 miesięcy od dnia zawarcia Umowy. Kolejne zmiany wynagrodzenia należnego Wykonawcy w trybie ust. 1 nie będą dokonywane częściej, niż co 6 miesięcy. </w:t>
      </w:r>
    </w:p>
    <w:p w14:paraId="6EFC4F45" w14:textId="77777777" w:rsidR="00C957E3" w:rsidRPr="003629F7" w:rsidRDefault="00C957E3" w:rsidP="00C957E3">
      <w:pPr>
        <w:widowControl w:val="0"/>
        <w:numPr>
          <w:ilvl w:val="0"/>
          <w:numId w:val="2"/>
        </w:numPr>
        <w:tabs>
          <w:tab w:val="left" w:pos="426"/>
        </w:tabs>
        <w:autoSpaceDE w:val="0"/>
        <w:autoSpaceDN w:val="0"/>
        <w:adjustRightInd w:val="0"/>
        <w:spacing w:line="276" w:lineRule="auto"/>
        <w:ind w:left="426"/>
        <w:rPr>
          <w:rFonts w:eastAsia="Calibri" w:cs="Calibri"/>
          <w:sz w:val="22"/>
          <w:szCs w:val="22"/>
        </w:rPr>
      </w:pPr>
      <w:r w:rsidRPr="003629F7">
        <w:rPr>
          <w:rFonts w:cs="Calibri"/>
          <w:sz w:val="22"/>
          <w:szCs w:val="22"/>
        </w:rPr>
        <w:t>Minimalny poziom zmiany ceny materiałów lub kosztów związanych z realizacją Umowy uprawniający Strony do żądania zmiany wynagrodzenia ustala się na 10 % w stosunku do cen tych materiałów lub kosztów z miesiąca, w którym złożono ofertę (z zastrzeżeniem art. 439 ust. 3 ustawy Prawo Zamówień Publicznych) lub w wypadku kolejnej zmiany, względem cen materiałów lub kosztów ustalonych przy ostatniej takiej zmianie.</w:t>
      </w:r>
      <w:r w:rsidRPr="003629F7">
        <w:rPr>
          <w:rFonts w:eastAsia="Calibri" w:cs="Calibri"/>
          <w:sz w:val="22"/>
          <w:szCs w:val="22"/>
        </w:rPr>
        <w:t xml:space="preserve"> </w:t>
      </w:r>
      <w:r w:rsidRPr="003629F7">
        <w:rPr>
          <w:rFonts w:cs="Calibri"/>
          <w:sz w:val="22"/>
          <w:szCs w:val="22"/>
        </w:rPr>
        <w:t>Zmiana wynagrodzenia w tym trybie nie może prowadzić do wzrostu zysku Wykonawcy, a jedynie do zrekompensowania kosztów, jakie będzie ponosił w związku z realizacją Umowy.</w:t>
      </w:r>
    </w:p>
    <w:p w14:paraId="6079FC08" w14:textId="77777777" w:rsidR="00C957E3" w:rsidRPr="003629F7" w:rsidRDefault="00C957E3" w:rsidP="00C957E3">
      <w:pPr>
        <w:widowControl w:val="0"/>
        <w:numPr>
          <w:ilvl w:val="0"/>
          <w:numId w:val="2"/>
        </w:numPr>
        <w:tabs>
          <w:tab w:val="left" w:pos="426"/>
        </w:tabs>
        <w:autoSpaceDE w:val="0"/>
        <w:autoSpaceDN w:val="0"/>
        <w:adjustRightInd w:val="0"/>
        <w:spacing w:line="276" w:lineRule="auto"/>
        <w:ind w:left="356" w:hangingChars="162" w:hanging="356"/>
        <w:rPr>
          <w:rFonts w:eastAsia="Calibri" w:cs="Calibri"/>
          <w:sz w:val="22"/>
          <w:szCs w:val="22"/>
        </w:rPr>
      </w:pPr>
      <w:r w:rsidRPr="003629F7">
        <w:rPr>
          <w:rFonts w:eastAsia="Calibri" w:cs="Calibri"/>
          <w:sz w:val="22"/>
          <w:szCs w:val="22"/>
        </w:rPr>
        <w:t xml:space="preserve">Zmiany cen lub kosztów, o których mowa w ust. 1 ustalane będą przy użyciu: </w:t>
      </w:r>
    </w:p>
    <w:p w14:paraId="42C6A363" w14:textId="77777777" w:rsidR="00C957E3" w:rsidRPr="003629F7" w:rsidRDefault="00C957E3" w:rsidP="00C957E3">
      <w:pPr>
        <w:numPr>
          <w:ilvl w:val="1"/>
          <w:numId w:val="1"/>
        </w:numPr>
        <w:spacing w:before="120" w:line="276" w:lineRule="auto"/>
        <w:ind w:left="851"/>
        <w:contextualSpacing/>
        <w:rPr>
          <w:rFonts w:eastAsia="Calibri" w:cs="Calibri"/>
          <w:sz w:val="22"/>
          <w:szCs w:val="22"/>
        </w:rPr>
      </w:pPr>
      <w:r w:rsidRPr="003629F7">
        <w:rPr>
          <w:rFonts w:eastAsia="Calibri" w:cs="Calibri"/>
          <w:sz w:val="22"/>
          <w:szCs w:val="22"/>
        </w:rPr>
        <w:t xml:space="preserve">odpowiednich wskaźników tych pozycji ogłaszanych przez Prezesa Głównego Urzędu Statystycznego, w szczególności średniorocznego wskaźnika cen towarów i usług konsumpcyjnych ogółem, wyliczonego w procentach i stanowiącego stosunek wartości ogłoszonego wskaźnika, pierwszego po terminie, w którym możliwa jest waloryzacja, do wskaźnika właściwego dla miesiąca, w którym złożono ofertę (z zastrzeżeniem art. 439 ust. 3 ustawy Prawo Zamówień Publicznych) lub branego pod uwagę przy ostatniej zmianie wynagrodzenia, o której mowa w ust. 1, </w:t>
      </w:r>
    </w:p>
    <w:p w14:paraId="5976D6B1" w14:textId="77777777" w:rsidR="00C957E3" w:rsidRPr="003629F7" w:rsidRDefault="00C957E3" w:rsidP="00C957E3">
      <w:pPr>
        <w:numPr>
          <w:ilvl w:val="1"/>
          <w:numId w:val="1"/>
        </w:numPr>
        <w:spacing w:before="120" w:line="276" w:lineRule="auto"/>
        <w:ind w:left="851"/>
        <w:contextualSpacing/>
        <w:rPr>
          <w:rFonts w:eastAsia="Calibri" w:cs="Calibri"/>
          <w:sz w:val="22"/>
          <w:szCs w:val="22"/>
        </w:rPr>
      </w:pPr>
      <w:r w:rsidRPr="003629F7">
        <w:rPr>
          <w:rFonts w:eastAsia="Calibri" w:cs="Calibri"/>
          <w:sz w:val="22"/>
          <w:szCs w:val="22"/>
        </w:rPr>
        <w:t xml:space="preserve">a w wypadku braku takich wskaźników, z uwzględnieniem wskaźników, na które obydwie Strony wyrażą zgodę. </w:t>
      </w:r>
    </w:p>
    <w:p w14:paraId="3F173A50" w14:textId="77777777" w:rsidR="00C957E3" w:rsidRPr="003629F7" w:rsidRDefault="00C957E3" w:rsidP="00C957E3">
      <w:pPr>
        <w:widowControl w:val="0"/>
        <w:numPr>
          <w:ilvl w:val="0"/>
          <w:numId w:val="2"/>
        </w:numPr>
        <w:tabs>
          <w:tab w:val="left" w:pos="426"/>
        </w:tabs>
        <w:autoSpaceDE w:val="0"/>
        <w:autoSpaceDN w:val="0"/>
        <w:adjustRightInd w:val="0"/>
        <w:spacing w:line="276" w:lineRule="auto"/>
        <w:ind w:left="426"/>
        <w:rPr>
          <w:rFonts w:eastAsia="Calibri" w:cs="Calibri"/>
          <w:sz w:val="22"/>
          <w:szCs w:val="22"/>
        </w:rPr>
      </w:pPr>
      <w:r w:rsidRPr="003629F7">
        <w:rPr>
          <w:rFonts w:eastAsia="Calibri" w:cs="Calibri"/>
          <w:sz w:val="22"/>
          <w:szCs w:val="22"/>
        </w:rPr>
        <w:t>Warunkiem zmiany wynagrodzenia Wykonawcy, o której mowa w ust. 1, będzie wykazanie przez daną Stronę Umowy, że zmiana ceny materiałów lub kosztów związanych z realizacją Umowy miała wpływ na koszty wykonania przedmiotu Umowy.</w:t>
      </w:r>
    </w:p>
    <w:p w14:paraId="7924EC1F" w14:textId="77777777" w:rsidR="00C957E3" w:rsidRPr="003629F7" w:rsidRDefault="00C957E3" w:rsidP="00C957E3">
      <w:pPr>
        <w:widowControl w:val="0"/>
        <w:numPr>
          <w:ilvl w:val="0"/>
          <w:numId w:val="2"/>
        </w:numPr>
        <w:tabs>
          <w:tab w:val="left" w:pos="426"/>
        </w:tabs>
        <w:autoSpaceDE w:val="0"/>
        <w:autoSpaceDN w:val="0"/>
        <w:adjustRightInd w:val="0"/>
        <w:spacing w:line="276" w:lineRule="auto"/>
        <w:ind w:left="426"/>
        <w:rPr>
          <w:rFonts w:eastAsia="Calibri" w:cs="Calibri"/>
          <w:sz w:val="22"/>
          <w:szCs w:val="22"/>
        </w:rPr>
      </w:pPr>
      <w:r w:rsidRPr="003629F7">
        <w:rPr>
          <w:rFonts w:eastAsia="Calibri" w:cs="Calibri"/>
          <w:sz w:val="22"/>
          <w:szCs w:val="22"/>
        </w:rPr>
        <w:t>W celu wykazania wpływu zmian, o których mowa w ust. 1 na koszty wykonania Umowy, Wykonawca przedstawi Zamawiającemu szczegółową kalkulację cen materiałów lub kosztów, według stanu sprzed danej zmiany cen materiałów lub kosztów oraz szczegółową kalkulację cen materiałów lub kosztów, według stanu po danej zmianie cen materiałów lub kosztów oraz wskaże kwotę, o jaką Wynagrodzenie powinno ulec zmianie. Zamawiający ustosunkuje się do przedstawionych kalkulacji, w szczególności przez zaakceptowanie wskazanej przez Wykonawcę kwoty lub przez zgłoszenie zastrzeżeń, wskazanie omyłek rachunkowych lub żądanie wyjaśnień lub dowodów, co do poszczególnych elementów kalkulacji. W wypadku akceptacji kalkulacji Wykonawcy, Strony zawrą aneks zmieniający Umowę w zakresie wynagrodzenia należnego Wykonawcy, o kwotę wynikającą z kalkulacji.</w:t>
      </w:r>
    </w:p>
    <w:p w14:paraId="18835208" w14:textId="77777777" w:rsidR="00C957E3" w:rsidRPr="003629F7" w:rsidRDefault="00C957E3" w:rsidP="00C957E3">
      <w:pPr>
        <w:widowControl w:val="0"/>
        <w:numPr>
          <w:ilvl w:val="0"/>
          <w:numId w:val="2"/>
        </w:numPr>
        <w:tabs>
          <w:tab w:val="left" w:pos="426"/>
        </w:tabs>
        <w:autoSpaceDE w:val="0"/>
        <w:autoSpaceDN w:val="0"/>
        <w:adjustRightInd w:val="0"/>
        <w:spacing w:line="276" w:lineRule="auto"/>
        <w:ind w:left="356" w:hangingChars="162" w:hanging="356"/>
        <w:rPr>
          <w:rFonts w:eastAsia="Calibri" w:cs="Calibri"/>
          <w:sz w:val="22"/>
          <w:szCs w:val="22"/>
        </w:rPr>
      </w:pPr>
      <w:r w:rsidRPr="003629F7">
        <w:rPr>
          <w:rFonts w:eastAsia="Calibri" w:cs="Calibri"/>
          <w:sz w:val="22"/>
          <w:szCs w:val="22"/>
        </w:rPr>
        <w:t xml:space="preserve">Łączna wysokość zmian wynagrodzenia, o których mowa w ust. 1, podczas całej realizacji Umowy, nie może być wyższa niż 10% całkowitego łącznego wynagrodzenia brutto Wykonawcy, o którym mowa w § </w:t>
      </w:r>
      <w:r>
        <w:rPr>
          <w:rFonts w:eastAsia="Calibri" w:cs="Calibri"/>
          <w:sz w:val="22"/>
          <w:szCs w:val="22"/>
        </w:rPr>
        <w:t>8</w:t>
      </w:r>
      <w:r w:rsidRPr="003629F7">
        <w:rPr>
          <w:rFonts w:eastAsia="Calibri" w:cs="Calibri"/>
          <w:sz w:val="22"/>
          <w:szCs w:val="22"/>
        </w:rPr>
        <w:t xml:space="preserve"> ust. </w:t>
      </w:r>
      <w:r>
        <w:rPr>
          <w:rFonts w:eastAsia="Calibri" w:cs="Calibri"/>
          <w:sz w:val="22"/>
          <w:szCs w:val="22"/>
        </w:rPr>
        <w:t>2</w:t>
      </w:r>
      <w:r w:rsidRPr="003629F7">
        <w:rPr>
          <w:rFonts w:eastAsia="Calibri" w:cs="Calibri"/>
          <w:sz w:val="22"/>
          <w:szCs w:val="22"/>
        </w:rPr>
        <w:t>.</w:t>
      </w:r>
    </w:p>
    <w:p w14:paraId="00EEBE9F" w14:textId="77777777" w:rsidR="00C957E3" w:rsidRPr="003629F7" w:rsidRDefault="00C957E3" w:rsidP="00C957E3">
      <w:pPr>
        <w:widowControl w:val="0"/>
        <w:numPr>
          <w:ilvl w:val="0"/>
          <w:numId w:val="2"/>
        </w:numPr>
        <w:tabs>
          <w:tab w:val="left" w:pos="426"/>
        </w:tabs>
        <w:autoSpaceDE w:val="0"/>
        <w:autoSpaceDN w:val="0"/>
        <w:adjustRightInd w:val="0"/>
        <w:spacing w:line="276" w:lineRule="auto"/>
        <w:ind w:left="356" w:hangingChars="162" w:hanging="356"/>
        <w:rPr>
          <w:rFonts w:eastAsia="Calibri" w:cs="Calibri"/>
          <w:sz w:val="22"/>
          <w:szCs w:val="22"/>
        </w:rPr>
      </w:pPr>
      <w:r w:rsidRPr="003629F7">
        <w:rPr>
          <w:rFonts w:eastAsia="Calibri" w:cs="Calibri"/>
          <w:sz w:val="22"/>
          <w:szCs w:val="22"/>
        </w:rPr>
        <w:t xml:space="preserve">Przez zmianę ceny materiałów lub kosztów rozumie się wzrost odpowiednio cen lub kosztów, jak i ich obniżenie, względem ceny lub kosztu przyjętych w celu ustalenia wynagrodzenia Wykonawcy zawartego w złożonej przez niego ofercie, lub w przypadku kolejnej zmiany, względem cen lub kosztów ustalonych przy ostatniej takiej zmianie. W przypadku obniżenia cen materiałów lub kosztów, o których mowa w zdaniu poprzednim, Wykonawca zobowiązany będzie na wezwanie Zamawiającego przedstawić kalkulację, o której mowa w ust. 6 i odpowiednio </w:t>
      </w:r>
      <w:r w:rsidRPr="003629F7">
        <w:rPr>
          <w:rFonts w:eastAsia="Calibri" w:cs="Calibri"/>
          <w:sz w:val="22"/>
          <w:szCs w:val="22"/>
        </w:rPr>
        <w:lastRenderedPageBreak/>
        <w:t xml:space="preserve">zastosować się do przyjętego w tym postanowieniu trybu. </w:t>
      </w:r>
    </w:p>
    <w:p w14:paraId="621398B3" w14:textId="77777777" w:rsidR="00C957E3" w:rsidRPr="003629F7" w:rsidRDefault="00C957E3" w:rsidP="00C957E3">
      <w:pPr>
        <w:widowControl w:val="0"/>
        <w:numPr>
          <w:ilvl w:val="0"/>
          <w:numId w:val="2"/>
        </w:numPr>
        <w:tabs>
          <w:tab w:val="left" w:pos="426"/>
        </w:tabs>
        <w:autoSpaceDE w:val="0"/>
        <w:autoSpaceDN w:val="0"/>
        <w:adjustRightInd w:val="0"/>
        <w:spacing w:line="276" w:lineRule="auto"/>
        <w:ind w:left="356" w:hangingChars="162" w:hanging="356"/>
        <w:rPr>
          <w:rFonts w:eastAsia="Calibri" w:cs="Calibri"/>
          <w:sz w:val="22"/>
          <w:szCs w:val="22"/>
        </w:rPr>
      </w:pPr>
      <w:r w:rsidRPr="003629F7">
        <w:rPr>
          <w:rFonts w:eastAsia="Calibri" w:cs="Calibri"/>
          <w:sz w:val="22"/>
          <w:szCs w:val="22"/>
        </w:rPr>
        <w:t xml:space="preserve">Zmiana wynagrodzenia Wykonawcy, z przyczyn, o których mowa w ust. 1 dotyczyć będzie wyłącznie niezrealizowanej części Umowy, przy czym początkowym terminem wprowadzenia zmian do Umowy, będzie miesiąc kalendarzowy następujący po miesiącu, w którym wystąpiły okoliczności powodujące zmianę. </w:t>
      </w:r>
    </w:p>
    <w:p w14:paraId="24D5FB0C" w14:textId="77777777" w:rsidR="00C957E3" w:rsidRPr="003629F7" w:rsidRDefault="00C957E3" w:rsidP="00C957E3">
      <w:pPr>
        <w:widowControl w:val="0"/>
        <w:numPr>
          <w:ilvl w:val="0"/>
          <w:numId w:val="2"/>
        </w:numPr>
        <w:tabs>
          <w:tab w:val="left" w:pos="426"/>
        </w:tabs>
        <w:autoSpaceDE w:val="0"/>
        <w:autoSpaceDN w:val="0"/>
        <w:adjustRightInd w:val="0"/>
        <w:spacing w:line="276" w:lineRule="auto"/>
        <w:ind w:left="356" w:hanging="356"/>
        <w:rPr>
          <w:rFonts w:eastAsia="Calibri" w:cs="Calibri"/>
          <w:sz w:val="22"/>
          <w:szCs w:val="22"/>
        </w:rPr>
      </w:pPr>
      <w:r w:rsidRPr="003629F7">
        <w:rPr>
          <w:rFonts w:eastAsia="Calibri" w:cs="Calibri"/>
          <w:sz w:val="22"/>
          <w:szCs w:val="22"/>
        </w:rPr>
        <w:t>Wykonawca, którego wynagrodzenie zostało zmienione zgodnie z ust. 1 i nast. zobowiązany jest do zmiany wynagrodzenia przysługującego podwykonawcy, z którym zawarł umowę o podwykonawstwo, w zakresie odpowiadającym zmianom cen materiałów lub kosztów dotyczących zobowiązania podwykonawcy, jeżeli łącznie spełnione są następujące warunki:</w:t>
      </w:r>
    </w:p>
    <w:p w14:paraId="400CCF81" w14:textId="77777777" w:rsidR="00C957E3" w:rsidRPr="003629F7" w:rsidRDefault="00C957E3" w:rsidP="00C957E3">
      <w:pPr>
        <w:numPr>
          <w:ilvl w:val="5"/>
          <w:numId w:val="1"/>
        </w:numPr>
        <w:spacing w:line="276" w:lineRule="auto"/>
        <w:ind w:left="709"/>
        <w:rPr>
          <w:rFonts w:eastAsia="Calibri" w:cs="Calibri"/>
          <w:sz w:val="22"/>
          <w:szCs w:val="22"/>
        </w:rPr>
      </w:pPr>
      <w:r w:rsidRPr="003629F7">
        <w:rPr>
          <w:rFonts w:eastAsia="Calibri" w:cs="Calibri"/>
          <w:sz w:val="22"/>
          <w:szCs w:val="22"/>
        </w:rPr>
        <w:t>przedmiotem umowy są usługi,</w:t>
      </w:r>
    </w:p>
    <w:p w14:paraId="46816107" w14:textId="77777777" w:rsidR="00C957E3" w:rsidRPr="003629F7" w:rsidRDefault="00C957E3" w:rsidP="00C957E3">
      <w:pPr>
        <w:numPr>
          <w:ilvl w:val="5"/>
          <w:numId w:val="1"/>
        </w:numPr>
        <w:spacing w:line="276" w:lineRule="auto"/>
        <w:ind w:left="709"/>
        <w:rPr>
          <w:rFonts w:eastAsia="Calibri" w:cs="Calibri"/>
          <w:sz w:val="22"/>
          <w:szCs w:val="22"/>
        </w:rPr>
      </w:pPr>
      <w:r w:rsidRPr="003629F7">
        <w:rPr>
          <w:rFonts w:eastAsia="Calibri" w:cs="Calibri"/>
          <w:sz w:val="22"/>
          <w:szCs w:val="22"/>
        </w:rPr>
        <w:t xml:space="preserve">okres obowiązywania umowy przekracza 6 miesięcy. </w:t>
      </w:r>
    </w:p>
    <w:p w14:paraId="5A23B17A" w14:textId="77777777" w:rsidR="008173E1" w:rsidRDefault="008173E1"/>
    <w:sectPr w:rsidR="008173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63F0D"/>
    <w:multiLevelType w:val="hybridMultilevel"/>
    <w:tmpl w:val="5C00CE56"/>
    <w:lvl w:ilvl="0" w:tplc="AB0ECAD8">
      <w:start w:val="1"/>
      <w:numFmt w:val="decimal"/>
      <w:lvlText w:val="%1."/>
      <w:lvlJc w:val="left"/>
      <w:pPr>
        <w:ind w:left="720" w:hanging="360"/>
      </w:pPr>
    </w:lvl>
    <w:lvl w:ilvl="1" w:tplc="698810B0">
      <w:start w:val="1"/>
      <w:numFmt w:val="decimal"/>
      <w:lvlText w:val="%2)"/>
      <w:lvlJc w:val="left"/>
      <w:pPr>
        <w:ind w:left="1440" w:hanging="360"/>
      </w:pPr>
      <w:rPr>
        <w:rFonts w:hint="default"/>
      </w:rPr>
    </w:lvl>
    <w:lvl w:ilvl="2" w:tplc="753CF1FE" w:tentative="1">
      <w:start w:val="1"/>
      <w:numFmt w:val="lowerRoman"/>
      <w:lvlText w:val="%3."/>
      <w:lvlJc w:val="right"/>
      <w:pPr>
        <w:ind w:left="2160" w:hanging="180"/>
      </w:pPr>
    </w:lvl>
    <w:lvl w:ilvl="3" w:tplc="40E4D9C2">
      <w:start w:val="1"/>
      <w:numFmt w:val="decimal"/>
      <w:lvlText w:val="%4."/>
      <w:lvlJc w:val="left"/>
      <w:pPr>
        <w:ind w:left="2880" w:hanging="360"/>
      </w:pPr>
    </w:lvl>
    <w:lvl w:ilvl="4" w:tplc="83CA5956" w:tentative="1">
      <w:start w:val="1"/>
      <w:numFmt w:val="lowerLetter"/>
      <w:lvlText w:val="%5."/>
      <w:lvlJc w:val="left"/>
      <w:pPr>
        <w:ind w:left="3600" w:hanging="360"/>
      </w:pPr>
    </w:lvl>
    <w:lvl w:ilvl="5" w:tplc="B70E1132" w:tentative="1">
      <w:start w:val="1"/>
      <w:numFmt w:val="lowerRoman"/>
      <w:lvlText w:val="%6."/>
      <w:lvlJc w:val="right"/>
      <w:pPr>
        <w:ind w:left="4320" w:hanging="180"/>
      </w:pPr>
    </w:lvl>
    <w:lvl w:ilvl="6" w:tplc="1ECCCD72" w:tentative="1">
      <w:start w:val="1"/>
      <w:numFmt w:val="decimal"/>
      <w:lvlText w:val="%7."/>
      <w:lvlJc w:val="left"/>
      <w:pPr>
        <w:ind w:left="5040" w:hanging="360"/>
      </w:pPr>
    </w:lvl>
    <w:lvl w:ilvl="7" w:tplc="2BC8E1BE" w:tentative="1">
      <w:start w:val="1"/>
      <w:numFmt w:val="lowerLetter"/>
      <w:lvlText w:val="%8."/>
      <w:lvlJc w:val="left"/>
      <w:pPr>
        <w:ind w:left="5760" w:hanging="360"/>
      </w:pPr>
    </w:lvl>
    <w:lvl w:ilvl="8" w:tplc="BF24432C" w:tentative="1">
      <w:start w:val="1"/>
      <w:numFmt w:val="lowerRoman"/>
      <w:lvlText w:val="%9."/>
      <w:lvlJc w:val="right"/>
      <w:pPr>
        <w:ind w:left="6480" w:hanging="180"/>
      </w:pPr>
    </w:lvl>
  </w:abstractNum>
  <w:abstractNum w:abstractNumId="1" w15:restartNumberingAfterBreak="0">
    <w:nsid w:val="2D96186E"/>
    <w:multiLevelType w:val="hybridMultilevel"/>
    <w:tmpl w:val="8F7ACEFE"/>
    <w:lvl w:ilvl="0" w:tplc="0415000F">
      <w:start w:val="1"/>
      <w:numFmt w:val="decimal"/>
      <w:lvlText w:val="%1."/>
      <w:lvlJc w:val="left"/>
      <w:pPr>
        <w:ind w:left="720" w:hanging="360"/>
      </w:pPr>
    </w:lvl>
    <w:lvl w:ilvl="1" w:tplc="04150011">
      <w:start w:val="1"/>
      <w:numFmt w:val="decimal"/>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B0483146">
      <w:start w:val="1"/>
      <w:numFmt w:val="decimal"/>
      <w:lvlText w:val="%6)"/>
      <w:lvlJc w:val="left"/>
      <w:pPr>
        <w:ind w:left="927" w:hanging="36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74252657">
    <w:abstractNumId w:val="1"/>
  </w:num>
  <w:num w:numId="2" w16cid:durableId="911230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E3"/>
    <w:rsid w:val="00445BA0"/>
    <w:rsid w:val="00472A75"/>
    <w:rsid w:val="008173E1"/>
    <w:rsid w:val="00955C22"/>
    <w:rsid w:val="00C957E3"/>
    <w:rsid w:val="00F13A5F"/>
    <w:rsid w:val="00F567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7E2B8"/>
  <w15:chartTrackingRefBased/>
  <w15:docId w15:val="{24E3C95F-BBA3-41E5-8363-ECF48F8B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57E3"/>
    <w:pPr>
      <w:spacing w:after="0" w:line="240" w:lineRule="auto"/>
    </w:pPr>
    <w:rPr>
      <w:rFonts w:ascii="Times New Roman" w:eastAsia="Times New Roman" w:hAnsi="Times New Roman" w:cs="Times New Roman"/>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Akapit z listą3,Akapit z listą31,Wypunktowanie,Akapit z listą32,BulletC,NOWY,Obiekt,normalny tekst,sw tekst,wypunktowanie,Wyliczanie,Bullets"/>
    <w:basedOn w:val="Normalny"/>
    <w:uiPriority w:val="34"/>
    <w:qFormat/>
    <w:rsid w:val="00C957E3"/>
    <w:pPr>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636</Words>
  <Characters>3817</Characters>
  <Application>Microsoft Office Word</Application>
  <DocSecurity>0</DocSecurity>
  <Lines>31</Lines>
  <Paragraphs>8</Paragraphs>
  <ScaleCrop>false</ScaleCrop>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Nikielska</dc:creator>
  <cp:keywords/>
  <dc:description/>
  <cp:lastModifiedBy>Tomasz Nikielski</cp:lastModifiedBy>
  <cp:revision>2</cp:revision>
  <dcterms:created xsi:type="dcterms:W3CDTF">2024-12-15T13:20:00Z</dcterms:created>
  <dcterms:modified xsi:type="dcterms:W3CDTF">2024-12-15T14:49:00Z</dcterms:modified>
</cp:coreProperties>
</file>