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D0B45" w14:textId="77777777"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14:paraId="03F64DBB" w14:textId="77777777"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B10B58F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14:paraId="6B11F262" w14:textId="4CA99996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(Dz. U. z </w:t>
      </w:r>
      <w:r w:rsidR="002D0963">
        <w:rPr>
          <w:rFonts w:ascii="Calibri" w:hAnsi="Calibri" w:cs="Calibri"/>
          <w:iCs/>
          <w:color w:val="000000"/>
          <w:sz w:val="22"/>
          <w:szCs w:val="22"/>
          <w:lang w:eastAsia="ar-SA"/>
        </w:rPr>
        <w:t>2021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, poz. </w:t>
      </w:r>
      <w:r w:rsidR="002D0963">
        <w:rPr>
          <w:rFonts w:ascii="Calibri" w:hAnsi="Calibri" w:cs="Calibri"/>
          <w:iCs/>
          <w:color w:val="000000"/>
          <w:sz w:val="22"/>
          <w:szCs w:val="22"/>
          <w:lang w:eastAsia="ar-SA"/>
        </w:rPr>
        <w:t>1129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14:paraId="2A8C85BA" w14:textId="77777777"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6BF2E83D" w14:textId="77777777"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60C46ACA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6A41A052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14:paraId="72B05AEE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14:paraId="729D40F0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14:paraId="15D1275C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13DFA4C1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05C039A9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3A70CF0D" w14:textId="6483C1CA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„Dostawy produktów farmaceutycznych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”, nr sprawy 2232.</w:t>
      </w:r>
      <w:r w:rsidR="00C71DE8">
        <w:rPr>
          <w:rFonts w:ascii="Calibri" w:hAnsi="Calibri" w:cs="Calibri"/>
          <w:sz w:val="22"/>
          <w:szCs w:val="22"/>
          <w:shd w:val="clear" w:color="auto" w:fill="FFFFFF"/>
        </w:rPr>
        <w:t>16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.202</w:t>
      </w:r>
      <w:r w:rsidR="00C71DE8">
        <w:rPr>
          <w:rFonts w:ascii="Calibri" w:hAnsi="Calibri" w:cs="Calibri"/>
          <w:sz w:val="22"/>
          <w:szCs w:val="22"/>
          <w:shd w:val="clear" w:color="auto" w:fill="FFFFFF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14:paraId="14C40A94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FD695F9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14:paraId="264452DE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pkt 4, 5,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(fakultatywne przesłanki wykluczenia).</w:t>
      </w:r>
    </w:p>
    <w:p w14:paraId="262BC739" w14:textId="77777777"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14:paraId="78868E80" w14:textId="77777777"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14:paraId="5D15B890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25565417" w14:textId="11BF69AC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7BE4BFC8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14:paraId="119E5C29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14:paraId="03425828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14:paraId="233CA00B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67D49199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E295FD" w14:textId="77777777"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14:paraId="6FA0EAF7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6300B1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14:paraId="701E3C9F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14:paraId="5308940D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14:paraId="0B248CF8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1440BC32" w14:textId="77777777"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14:paraId="12808330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673584AE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0B2FE28D" w14:textId="77777777"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8142B" w14:textId="77777777" w:rsidR="002650C2" w:rsidRDefault="002650C2" w:rsidP="009664D1">
      <w:r>
        <w:separator/>
      </w:r>
    </w:p>
  </w:endnote>
  <w:endnote w:type="continuationSeparator" w:id="0">
    <w:p w14:paraId="040A28F0" w14:textId="77777777" w:rsidR="002650C2" w:rsidRDefault="002650C2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9E988" w14:textId="77777777"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FECF" w14:textId="77777777" w:rsidR="002650C2" w:rsidRDefault="002650C2" w:rsidP="009664D1">
      <w:r w:rsidRPr="009664D1">
        <w:rPr>
          <w:color w:val="000000"/>
        </w:rPr>
        <w:separator/>
      </w:r>
    </w:p>
  </w:footnote>
  <w:footnote w:type="continuationSeparator" w:id="0">
    <w:p w14:paraId="519C0CE9" w14:textId="77777777" w:rsidR="002650C2" w:rsidRDefault="002650C2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4D1"/>
    <w:rsid w:val="00163C4F"/>
    <w:rsid w:val="002650C2"/>
    <w:rsid w:val="002D0963"/>
    <w:rsid w:val="003D7D90"/>
    <w:rsid w:val="003F4419"/>
    <w:rsid w:val="00635D7D"/>
    <w:rsid w:val="006B249A"/>
    <w:rsid w:val="007E4E37"/>
    <w:rsid w:val="009664D1"/>
    <w:rsid w:val="00A74512"/>
    <w:rsid w:val="00C71DE8"/>
    <w:rsid w:val="00DA5F63"/>
    <w:rsid w:val="00F903D3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FC7"/>
  <w15:docId w15:val="{473CDA9C-A381-4683-BFE6-56E01E65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Beata Marszałkiewicz</cp:lastModifiedBy>
  <cp:revision>10</cp:revision>
  <cp:lastPrinted>2021-08-17T08:49:00Z</cp:lastPrinted>
  <dcterms:created xsi:type="dcterms:W3CDTF">2018-01-11T12:44:00Z</dcterms:created>
  <dcterms:modified xsi:type="dcterms:W3CDTF">2024-11-06T12:44:00Z</dcterms:modified>
</cp:coreProperties>
</file>