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E385" w14:textId="573C9B48" w:rsidR="00353996" w:rsidRPr="00353996" w:rsidRDefault="00353996" w:rsidP="00353996">
      <w:pPr>
        <w:pStyle w:val="Nagwek1"/>
        <w:jc w:val="right"/>
        <w:rPr>
          <w:rFonts w:ascii="Times New Roman" w:hAnsi="Times New Roman"/>
          <w:b/>
          <w:bCs/>
          <w:color w:val="auto"/>
          <w:kern w:val="0"/>
          <w:sz w:val="24"/>
          <w:szCs w:val="24"/>
          <w:u w:val="single"/>
        </w:rPr>
      </w:pPr>
      <w:r w:rsidRPr="0035399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Załącznik nr </w:t>
      </w:r>
      <w:r w:rsidR="00345E4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6</w:t>
      </w:r>
      <w:r w:rsidRPr="0035399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do SWZ</w:t>
      </w:r>
    </w:p>
    <w:p w14:paraId="54BA2754" w14:textId="77777777" w:rsidR="00353996" w:rsidRPr="00345953" w:rsidRDefault="00353996" w:rsidP="00353996">
      <w:pPr>
        <w:pStyle w:val="Nagwek1"/>
        <w:jc w:val="right"/>
        <w:rPr>
          <w:rFonts w:ascii="Times New Roman" w:hAnsi="Times New Roman" w:cs="Calibri"/>
          <w:bCs/>
          <w:kern w:val="0"/>
          <w:sz w:val="22"/>
          <w:szCs w:val="22"/>
        </w:rPr>
      </w:pPr>
      <w:r w:rsidRPr="00345953">
        <w:rPr>
          <w:rFonts w:ascii="Times New Roman" w:hAnsi="Times New Roman" w:cs="Calibri"/>
          <w:bCs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23CDEC90" w14:textId="77777777" w:rsidR="00353996" w:rsidRDefault="00353996" w:rsidP="00353996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Szczegółowy opis przedmiotu zamówienia</w:t>
      </w:r>
    </w:p>
    <w:p w14:paraId="2DF911CD" w14:textId="77777777" w:rsidR="00353996" w:rsidRPr="003C3635" w:rsidRDefault="00353996" w:rsidP="00353996">
      <w:pPr>
        <w:pStyle w:val="Standard"/>
        <w:jc w:val="center"/>
        <w:rPr>
          <w:bCs/>
          <w:sz w:val="22"/>
          <w:szCs w:val="22"/>
        </w:rPr>
      </w:pPr>
    </w:p>
    <w:p w14:paraId="472CB5DF" w14:textId="77777777" w:rsidR="00353996" w:rsidRPr="003C3635" w:rsidRDefault="00353996" w:rsidP="00353996">
      <w:pPr>
        <w:pStyle w:val="Standard"/>
        <w:jc w:val="both"/>
        <w:rPr>
          <w:bCs/>
          <w:sz w:val="22"/>
          <w:szCs w:val="22"/>
        </w:rPr>
      </w:pPr>
    </w:p>
    <w:p w14:paraId="194A0208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 xml:space="preserve">Nazwa przedmiotu zamówienia: </w:t>
      </w:r>
      <w:r w:rsidRPr="003C3635">
        <w:rPr>
          <w:b/>
        </w:rPr>
        <w:t>usługi pocztowe.</w:t>
      </w:r>
    </w:p>
    <w:p w14:paraId="473CB476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 xml:space="preserve">Opis przedmiotu zamówienia: </w:t>
      </w:r>
    </w:p>
    <w:p w14:paraId="7EE3FE9C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 xml:space="preserve">Przedmiotem zamówienia jest świadczenie usług pocztowych w obrocie krajowym </w:t>
      </w:r>
      <w:r w:rsidRPr="003C3635">
        <w:rPr>
          <w:bCs/>
        </w:rPr>
        <w:br/>
        <w:t>i zagranicznym na rzecz Miasta i Gminy Szamotuły, ul. Dworcowa 26, 64-500 Szamotuły i w zakresie przyjmowania, przemieszczania i doręczenia przesyłek oraz ich zwrotów, świadczonych przez 5 dni w tygodniu od poniedziałku do piątku, zgodnie z przepisami:</w:t>
      </w:r>
    </w:p>
    <w:p w14:paraId="0BABAE85" w14:textId="77777777" w:rsidR="00353996" w:rsidRPr="003C3635" w:rsidRDefault="00353996" w:rsidP="00353996">
      <w:pPr>
        <w:numPr>
          <w:ilvl w:val="0"/>
          <w:numId w:val="39"/>
        </w:numPr>
        <w:autoSpaceDE w:val="0"/>
        <w:jc w:val="both"/>
        <w:rPr>
          <w:rFonts w:eastAsia="Lucida Sans Unicode"/>
          <w:bCs/>
        </w:rPr>
      </w:pPr>
      <w:r w:rsidRPr="003C3635">
        <w:rPr>
          <w:bCs/>
          <w:color w:val="000000"/>
        </w:rPr>
        <w:t>ustawy z dnia 23 listopada 2012 r. Prawo pocztowe (</w:t>
      </w:r>
      <w:r w:rsidRPr="003C3635">
        <w:rPr>
          <w:bCs/>
        </w:rPr>
        <w:t>Dz.U. z 202</w:t>
      </w:r>
      <w:r>
        <w:rPr>
          <w:bCs/>
        </w:rPr>
        <w:t>3</w:t>
      </w:r>
      <w:r w:rsidRPr="003C3635">
        <w:rPr>
          <w:bCs/>
        </w:rPr>
        <w:t>r. poz.</w:t>
      </w:r>
      <w:r>
        <w:rPr>
          <w:bCs/>
        </w:rPr>
        <w:t>1640</w:t>
      </w:r>
      <w:r w:rsidRPr="003C3635">
        <w:rPr>
          <w:bCs/>
          <w:color w:val="000000"/>
        </w:rPr>
        <w:t>)</w:t>
      </w:r>
      <w:r w:rsidRPr="003C3635">
        <w:rPr>
          <w:rFonts w:eastAsia="Lucida Sans Unicode"/>
          <w:bCs/>
        </w:rPr>
        <w:t>,</w:t>
      </w:r>
    </w:p>
    <w:p w14:paraId="5452E3EE" w14:textId="77777777" w:rsidR="00353996" w:rsidRPr="003C3635" w:rsidRDefault="00353996" w:rsidP="00353996">
      <w:pPr>
        <w:numPr>
          <w:ilvl w:val="0"/>
          <w:numId w:val="39"/>
        </w:numPr>
        <w:autoSpaceDE w:val="0"/>
        <w:jc w:val="both"/>
        <w:rPr>
          <w:bCs/>
        </w:rPr>
      </w:pPr>
      <w:r w:rsidRPr="003C3635">
        <w:rPr>
          <w:bCs/>
        </w:rPr>
        <w:t xml:space="preserve">rozporządzenia Ministra Administracji i Cyfryzacji z dnia 29 kwietnia 2013 r. </w:t>
      </w:r>
      <w:r w:rsidRPr="003C3635">
        <w:rPr>
          <w:bCs/>
        </w:rPr>
        <w:br/>
        <w:t>w sprawie warunków wykonywania usług powszechnych przez operatora wyznaczonego (Dz. U. z 2020 r. poz. 1026 ze zm.),</w:t>
      </w:r>
    </w:p>
    <w:p w14:paraId="0AFF0379" w14:textId="77777777" w:rsidR="00353996" w:rsidRPr="003C3635" w:rsidRDefault="00353996" w:rsidP="00353996">
      <w:pPr>
        <w:numPr>
          <w:ilvl w:val="0"/>
          <w:numId w:val="39"/>
        </w:numPr>
        <w:autoSpaceDE w:val="0"/>
        <w:jc w:val="both"/>
        <w:rPr>
          <w:bCs/>
        </w:rPr>
      </w:pPr>
      <w:r w:rsidRPr="003C3635">
        <w:rPr>
          <w:bCs/>
        </w:rPr>
        <w:t>rozporządzenia Ministra Infrastruktury z dnia 26 listopada 2013 r. w sprawie reklamacji usługi pocztowej (Dz. U. 2019,  poz. 474),</w:t>
      </w:r>
    </w:p>
    <w:p w14:paraId="7434DC8C" w14:textId="77777777" w:rsidR="00353996" w:rsidRPr="003C3635" w:rsidRDefault="00353996" w:rsidP="00353996">
      <w:pPr>
        <w:widowControl/>
        <w:numPr>
          <w:ilvl w:val="0"/>
          <w:numId w:val="39"/>
        </w:numPr>
        <w:jc w:val="both"/>
        <w:rPr>
          <w:bCs/>
        </w:rPr>
      </w:pPr>
      <w:r w:rsidRPr="003C3635">
        <w:rPr>
          <w:bCs/>
        </w:rPr>
        <w:t>międzynarodowych przepisów pocztowych,</w:t>
      </w:r>
    </w:p>
    <w:p w14:paraId="2AFDCB6A" w14:textId="564A684B" w:rsidR="00353996" w:rsidRPr="003C3635" w:rsidRDefault="00353996" w:rsidP="00353996">
      <w:pPr>
        <w:widowControl/>
        <w:numPr>
          <w:ilvl w:val="0"/>
          <w:numId w:val="39"/>
        </w:numPr>
        <w:jc w:val="both"/>
        <w:rPr>
          <w:bCs/>
        </w:rPr>
      </w:pPr>
      <w:r w:rsidRPr="003C3635">
        <w:rPr>
          <w:bCs/>
        </w:rPr>
        <w:t xml:space="preserve">innych aktów prawnych związanych z realizacją usług będących przedmiotem postępowania, </w:t>
      </w:r>
      <w:r w:rsidR="008C7DE8">
        <w:rPr>
          <w:bCs/>
        </w:rPr>
        <w:t xml:space="preserve">wydanych na podstawie </w:t>
      </w:r>
      <w:r w:rsidRPr="003C3635">
        <w:rPr>
          <w:bCs/>
        </w:rPr>
        <w:t>ustawy i rozporządzenia oraz postanowień Specyfikacji Istotnych Warunków Zamówienia.</w:t>
      </w:r>
    </w:p>
    <w:p w14:paraId="6571725A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 xml:space="preserve"> Cena usługi listowej nierejestrowanej, poleconej i wartościowej uzależniona jest od czasu doręczenia (ekonomiczna, priorytetowa) oraz od formatu przesyłek:</w:t>
      </w:r>
    </w:p>
    <w:p w14:paraId="4C3CE686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S – maksymalny wymiar koperty C5 (162 x 229 x 20mm) do 500 g</w:t>
      </w:r>
    </w:p>
    <w:p w14:paraId="576477DF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M – maksymalny wymiar koperty C4 (229 x 324 x 20mm) do 1000g</w:t>
      </w:r>
    </w:p>
    <w:p w14:paraId="44579402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L – ponad wymiar koperty C4 ( suma nie może przekroczyć 900mm, przy czym długość nie może być większa, niż 600mm) do 2000g</w:t>
      </w:r>
    </w:p>
    <w:p w14:paraId="6ED5DD13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  <w:color w:val="000000"/>
          <w:lang w:eastAsia="bo-CN" w:bidi="bo-CN"/>
        </w:rPr>
      </w:pPr>
      <w:r w:rsidRPr="003C3635">
        <w:rPr>
          <w:bCs/>
        </w:rPr>
        <w:t xml:space="preserve">Potwierdzenie odbioru – jest to usługa dodana do przesyłek rejestrowanych </w:t>
      </w:r>
      <w:r w:rsidRPr="003C3635">
        <w:rPr>
          <w:bCs/>
          <w:color w:val="000000"/>
          <w:lang w:eastAsia="bo-CN" w:bidi="bo-CN"/>
        </w:rPr>
        <w:t>polegająca na doręczeniu nadawcy formularza z pokwitowaniem odbioru przesyłki przez adresata.</w:t>
      </w:r>
    </w:p>
    <w:p w14:paraId="1D8F25A1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>Przez przesyłki rejestrowane będące przedmiotem zamówienia rozumie się przesyłki do 2.000 g zawierające rzecz przyjętą w celu przemieszczenia  i doręczenia:</w:t>
      </w:r>
    </w:p>
    <w:p w14:paraId="17A3518E" w14:textId="77777777" w:rsidR="00353996" w:rsidRPr="003C3635" w:rsidRDefault="00353996" w:rsidP="00353996">
      <w:pPr>
        <w:widowControl/>
        <w:numPr>
          <w:ilvl w:val="0"/>
          <w:numId w:val="31"/>
        </w:numPr>
        <w:tabs>
          <w:tab w:val="clear" w:pos="0"/>
          <w:tab w:val="num" w:pos="794"/>
        </w:tabs>
        <w:ind w:left="794" w:hanging="397"/>
        <w:jc w:val="both"/>
        <w:rPr>
          <w:bCs/>
        </w:rPr>
      </w:pPr>
      <w:r w:rsidRPr="003C3635">
        <w:rPr>
          <w:bCs/>
        </w:rPr>
        <w:t>ekonomiczne – przesyłki rejestrowane nie będące paczkami najszybszej kategorii,</w:t>
      </w:r>
    </w:p>
    <w:p w14:paraId="6F7C73AC" w14:textId="77777777" w:rsidR="00353996" w:rsidRPr="003C3635" w:rsidRDefault="00353996" w:rsidP="00353996">
      <w:pPr>
        <w:widowControl/>
        <w:numPr>
          <w:ilvl w:val="0"/>
          <w:numId w:val="31"/>
        </w:numPr>
        <w:tabs>
          <w:tab w:val="clear" w:pos="0"/>
          <w:tab w:val="num" w:pos="794"/>
        </w:tabs>
        <w:ind w:left="794" w:hanging="397"/>
        <w:jc w:val="both"/>
        <w:rPr>
          <w:bCs/>
        </w:rPr>
      </w:pPr>
      <w:r w:rsidRPr="003C3635">
        <w:rPr>
          <w:bCs/>
        </w:rPr>
        <w:t>priorytetowe - przesyłki rejestrowane będące paczkami najszybszej kategorii.</w:t>
      </w:r>
    </w:p>
    <w:p w14:paraId="146E8B71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/>
        </w:rPr>
        <w:t>Wymiary przesyłek listowych</w:t>
      </w:r>
      <w:r w:rsidRPr="003C3635">
        <w:rPr>
          <w:bCs/>
        </w:rPr>
        <w:t>:</w:t>
      </w:r>
    </w:p>
    <w:p w14:paraId="6FE82E90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 xml:space="preserve">a) </w:t>
      </w:r>
      <w:r w:rsidRPr="003C3635">
        <w:rPr>
          <w:bCs/>
          <w:u w:val="single"/>
        </w:rPr>
        <w:t>Format S</w:t>
      </w:r>
      <w:r w:rsidRPr="003C3635">
        <w:rPr>
          <w:bCs/>
        </w:rPr>
        <w:t xml:space="preserve"> to przesyłki o wymiarach:</w:t>
      </w:r>
    </w:p>
    <w:p w14:paraId="394F3336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 xml:space="preserve"> minimum – wymiary strony adresowej nie mogą być mniejsze niż 90 x 140 mm</w:t>
      </w:r>
    </w:p>
    <w:p w14:paraId="2E6C83D9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maksimum – żaden z wymiarów nie może przekroczyć: wysokość 20 mm, długość 230 mm, szerokość 160 mm</w:t>
      </w:r>
    </w:p>
    <w:p w14:paraId="140ADE85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 xml:space="preserve">b) </w:t>
      </w:r>
      <w:r w:rsidRPr="003C3635">
        <w:rPr>
          <w:bCs/>
          <w:u w:val="single"/>
        </w:rPr>
        <w:t>Format M</w:t>
      </w:r>
      <w:r w:rsidRPr="003C3635">
        <w:rPr>
          <w:bCs/>
        </w:rPr>
        <w:t xml:space="preserve"> to przesyłki o wymiarach:</w:t>
      </w:r>
    </w:p>
    <w:p w14:paraId="0007611F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lastRenderedPageBreak/>
        <w:t xml:space="preserve">minimum – wymiary strony adresowej nie mogą być mniejsze niż 90 x 140 mm </w:t>
      </w:r>
    </w:p>
    <w:p w14:paraId="36259CB5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 xml:space="preserve">maksimum – żaden z wymiarów nie może przekroczyć: wysokość 20 mm, długość 325 mm, szerokość 230 mm </w:t>
      </w:r>
    </w:p>
    <w:p w14:paraId="5BF9994E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c) Format L to przesyłki o wymiarach:</w:t>
      </w:r>
    </w:p>
    <w:p w14:paraId="117B2CBD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minimum – wymiary strony adresowej nie mogą być mniejsze niż 90 x 140 mm</w:t>
      </w:r>
    </w:p>
    <w:p w14:paraId="3D701B9D" w14:textId="77777777" w:rsidR="00353996" w:rsidRPr="003C3635" w:rsidRDefault="00353996" w:rsidP="00353996">
      <w:pPr>
        <w:ind w:left="397"/>
        <w:jc w:val="both"/>
        <w:rPr>
          <w:bCs/>
        </w:rPr>
      </w:pPr>
      <w:r w:rsidRPr="003C3635">
        <w:rPr>
          <w:bCs/>
        </w:rPr>
        <w:t>maksimum – suma długości, szerokości i wysokości 900 mm, przy czym największy z tych wymiarów (długość) nie może przekroczyć 600 mm</w:t>
      </w:r>
    </w:p>
    <w:p w14:paraId="068861B6" w14:textId="163CC847" w:rsidR="008C7DE8" w:rsidRPr="008C7DE8" w:rsidRDefault="00353996" w:rsidP="008C7DE8">
      <w:pPr>
        <w:widowControl/>
        <w:numPr>
          <w:ilvl w:val="0"/>
          <w:numId w:val="1"/>
        </w:numPr>
        <w:ind w:left="397" w:hanging="397"/>
        <w:jc w:val="both"/>
        <w:rPr>
          <w:rFonts w:eastAsia="Lucida Sans Unicode"/>
          <w:bCs/>
        </w:rPr>
      </w:pPr>
      <w:r w:rsidRPr="003C3635">
        <w:rPr>
          <w:rFonts w:eastAsia="Lucida Sans Unicode"/>
          <w:b/>
        </w:rPr>
        <w:t>Wymiary paczek pocztowych</w:t>
      </w:r>
      <w:r w:rsidRPr="003C3635">
        <w:rPr>
          <w:rFonts w:eastAsia="Lucida Sans Unicode"/>
          <w:bCs/>
        </w:rPr>
        <w:t>:</w:t>
      </w:r>
    </w:p>
    <w:p w14:paraId="00FBB42F" w14:textId="77777777" w:rsidR="00353996" w:rsidRPr="003C3635" w:rsidRDefault="00353996" w:rsidP="00353996">
      <w:pPr>
        <w:ind w:left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 xml:space="preserve">a) </w:t>
      </w:r>
      <w:r w:rsidRPr="003C3635">
        <w:rPr>
          <w:rFonts w:eastAsia="Lucida Sans Unicode"/>
          <w:bCs/>
          <w:u w:val="single"/>
        </w:rPr>
        <w:t>Gabaryt A</w:t>
      </w:r>
      <w:r w:rsidRPr="003C3635">
        <w:rPr>
          <w:rFonts w:eastAsia="Lucida Sans Unicode"/>
          <w:bCs/>
        </w:rPr>
        <w:t>: to paczki o wymiarach:</w:t>
      </w:r>
    </w:p>
    <w:p w14:paraId="533C2339" w14:textId="77777777" w:rsidR="00353996" w:rsidRPr="003C3635" w:rsidRDefault="00353996" w:rsidP="00353996">
      <w:pPr>
        <w:ind w:left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 xml:space="preserve">minimum – wymiary strony adresowej nie mogą być większe niż 90 x 140 mm </w:t>
      </w:r>
    </w:p>
    <w:p w14:paraId="45202BBB" w14:textId="77777777" w:rsidR="00353996" w:rsidRPr="003C3635" w:rsidRDefault="00353996" w:rsidP="00353996">
      <w:pPr>
        <w:ind w:left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 xml:space="preserve">maksimum – żaden z wymiarów nie może przekroczyć: długość 600 mm, szerokość 500 mm, wysokość 300 mm </w:t>
      </w:r>
    </w:p>
    <w:p w14:paraId="7E3A8B0F" w14:textId="77777777" w:rsidR="00353996" w:rsidRPr="003C3635" w:rsidRDefault="00353996" w:rsidP="00353996">
      <w:pPr>
        <w:ind w:left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 xml:space="preserve">b) </w:t>
      </w:r>
      <w:r w:rsidRPr="003C3635">
        <w:rPr>
          <w:rFonts w:eastAsia="Lucida Sans Unicode"/>
          <w:bCs/>
          <w:u w:val="single"/>
        </w:rPr>
        <w:t>Gabaryt B</w:t>
      </w:r>
      <w:r w:rsidRPr="003C3635">
        <w:rPr>
          <w:rFonts w:eastAsia="Lucida Sans Unicode"/>
          <w:bCs/>
        </w:rPr>
        <w:t xml:space="preserve"> to paczki o wymiarach:</w:t>
      </w:r>
    </w:p>
    <w:p w14:paraId="26F5AE65" w14:textId="4823A1A9" w:rsidR="00353996" w:rsidRPr="003C3635" w:rsidRDefault="00353996" w:rsidP="00353996">
      <w:pPr>
        <w:ind w:left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>minimum – jeśli choć jeden z wymiarów przekracza długość 6</w:t>
      </w:r>
      <w:r w:rsidR="008C7DE8">
        <w:rPr>
          <w:rFonts w:eastAsia="Lucida Sans Unicode"/>
          <w:bCs/>
        </w:rPr>
        <w:t>00</w:t>
      </w:r>
      <w:r w:rsidRPr="003C3635">
        <w:rPr>
          <w:rFonts w:eastAsia="Lucida Sans Unicode"/>
          <w:bCs/>
        </w:rPr>
        <w:t xml:space="preserve"> mm lub szerokość 500 mm lub wysokość 300 mm</w:t>
      </w:r>
    </w:p>
    <w:p w14:paraId="3A301A8E" w14:textId="77777777" w:rsidR="00353996" w:rsidRPr="003C3635" w:rsidRDefault="00353996" w:rsidP="00353996">
      <w:pPr>
        <w:ind w:left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>maksimum – suma długości i największego obwodu mierzonego w innym kierunku niż długość – 3000 mm, przy czym największy wymiar nie może przekroczyć 1500 mm</w:t>
      </w:r>
    </w:p>
    <w:p w14:paraId="62778676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rFonts w:eastAsia="Lucida Sans Unicode"/>
          <w:bCs/>
        </w:rPr>
      </w:pPr>
      <w:r w:rsidRPr="003C3635">
        <w:rPr>
          <w:rFonts w:eastAsia="Lucida Sans Unicode"/>
          <w:bCs/>
        </w:rPr>
        <w:t>W przypadku przesyłek w obrocie zagranicznym, oznacza to obrót na terenie krajów europejskich (łącznie z Cyprem, całą Rosją i Izraelem).</w:t>
      </w:r>
    </w:p>
    <w:p w14:paraId="1E6E44A5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 xml:space="preserve">Druk bezadresowy- to ulotka z informacją pisemną lub graficzną, wykonana w więcej niż w jednym egzemplarzu, przesyłane bez danych identyfikujących adresata (tj. nazwa </w:t>
      </w:r>
      <w:r w:rsidRPr="003C3635">
        <w:rPr>
          <w:bCs/>
        </w:rPr>
        <w:br/>
        <w:t>i adres).</w:t>
      </w:r>
    </w:p>
    <w:p w14:paraId="074C3760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>Przedmiotem umowy są usługi pocztowe:</w:t>
      </w:r>
    </w:p>
    <w:p w14:paraId="11F511A7" w14:textId="77777777" w:rsidR="00353996" w:rsidRPr="003C3635" w:rsidRDefault="00353996" w:rsidP="00353996">
      <w:pPr>
        <w:widowControl/>
        <w:numPr>
          <w:ilvl w:val="3"/>
          <w:numId w:val="1"/>
        </w:numPr>
        <w:tabs>
          <w:tab w:val="clear" w:pos="0"/>
          <w:tab w:val="num" w:pos="794"/>
        </w:tabs>
        <w:ind w:left="794" w:hanging="397"/>
        <w:jc w:val="both"/>
        <w:rPr>
          <w:bCs/>
        </w:rPr>
      </w:pPr>
      <w:r w:rsidRPr="003C3635">
        <w:rPr>
          <w:bCs/>
        </w:rPr>
        <w:t>w obrocie krajowym i zagranicznym ekonomiczne i priorytetowe:</w:t>
      </w:r>
    </w:p>
    <w:p w14:paraId="01B2FADB" w14:textId="77777777" w:rsidR="00353996" w:rsidRPr="003C3635" w:rsidRDefault="00353996" w:rsidP="00353996">
      <w:pPr>
        <w:ind w:left="851"/>
        <w:jc w:val="both"/>
        <w:rPr>
          <w:bCs/>
        </w:rPr>
      </w:pPr>
      <w:r w:rsidRPr="003C3635">
        <w:rPr>
          <w:bCs/>
        </w:rPr>
        <w:t>a) przesyłki listowe nierejestrowane,</w:t>
      </w:r>
    </w:p>
    <w:p w14:paraId="4A4E461A" w14:textId="77777777" w:rsidR="00353996" w:rsidRPr="003C3635" w:rsidRDefault="00353996" w:rsidP="00353996">
      <w:pPr>
        <w:ind w:left="851"/>
        <w:jc w:val="both"/>
        <w:rPr>
          <w:bCs/>
        </w:rPr>
      </w:pPr>
      <w:r w:rsidRPr="003C3635">
        <w:rPr>
          <w:bCs/>
        </w:rPr>
        <w:t>b) przesyłki listowe rejestrowane,</w:t>
      </w:r>
    </w:p>
    <w:p w14:paraId="37E4232C" w14:textId="77777777" w:rsidR="00353996" w:rsidRPr="003C3635" w:rsidRDefault="00353996" w:rsidP="00353996">
      <w:pPr>
        <w:ind w:left="851"/>
        <w:jc w:val="both"/>
        <w:rPr>
          <w:bCs/>
        </w:rPr>
      </w:pPr>
      <w:r w:rsidRPr="003C3635">
        <w:rPr>
          <w:bCs/>
        </w:rPr>
        <w:t>c) paczki pocztowe,</w:t>
      </w:r>
    </w:p>
    <w:p w14:paraId="462623A7" w14:textId="77777777" w:rsidR="00353996" w:rsidRPr="003C3635" w:rsidRDefault="00353996" w:rsidP="00353996">
      <w:pPr>
        <w:ind w:left="851"/>
        <w:jc w:val="both"/>
        <w:rPr>
          <w:bCs/>
        </w:rPr>
      </w:pPr>
    </w:p>
    <w:p w14:paraId="4032A13F" w14:textId="182D521C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rFonts w:eastAsia="TrebuchetMS"/>
          <w:bCs/>
        </w:rPr>
      </w:pPr>
      <w:r w:rsidRPr="003C3635">
        <w:rPr>
          <w:rFonts w:eastAsia="TrebuchetMS"/>
          <w:bCs/>
        </w:rPr>
        <w:t xml:space="preserve">Przesyłki nie ujęte w </w:t>
      </w:r>
      <w:r w:rsidR="008C7DE8">
        <w:rPr>
          <w:rFonts w:eastAsia="TrebuchetMS"/>
          <w:bCs/>
        </w:rPr>
        <w:t>Kosztorysie ofertowym</w:t>
      </w:r>
      <w:r w:rsidRPr="003C3635">
        <w:rPr>
          <w:rFonts w:eastAsia="TrebuchetMS"/>
          <w:bCs/>
        </w:rPr>
        <w:t xml:space="preserve"> stanowiącym Załącznik nr </w:t>
      </w:r>
      <w:r w:rsidR="008C7DE8">
        <w:rPr>
          <w:rFonts w:eastAsia="TrebuchetMS"/>
          <w:bCs/>
        </w:rPr>
        <w:t>8</w:t>
      </w:r>
      <w:r w:rsidRPr="003C3635">
        <w:rPr>
          <w:rFonts w:eastAsia="TrebuchetMS"/>
          <w:bCs/>
        </w:rPr>
        <w:t xml:space="preserve"> do Specyfikacji będą opłacane zgodnie z obowiązującym w dniu nadania/zwrotu przesyłki cennikiem. </w:t>
      </w:r>
    </w:p>
    <w:p w14:paraId="7160D715" w14:textId="77777777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rFonts w:eastAsia="Lucida Sans Unicode"/>
          <w:bCs/>
        </w:rPr>
      </w:pPr>
      <w:r w:rsidRPr="003C3635">
        <w:rPr>
          <w:bCs/>
        </w:rPr>
        <w:t>Zamawiający akceptuje możliwość zmiany w trakcie obowiązywania umowy w stosunku do treści oferty, na podstawie której dokonano wyboru Wykonawcy:</w:t>
      </w:r>
    </w:p>
    <w:p w14:paraId="2B2841BB" w14:textId="77777777" w:rsidR="00353996" w:rsidRPr="003C3635" w:rsidRDefault="00353996" w:rsidP="00353996">
      <w:pPr>
        <w:jc w:val="both"/>
        <w:rPr>
          <w:bCs/>
        </w:rPr>
      </w:pPr>
      <w:r w:rsidRPr="003C3635">
        <w:rPr>
          <w:bCs/>
        </w:rPr>
        <w:t>a) w przypadku zmiany przepisów określających wysokość należnego podatku VAT na usługi pocztowe, w czasie trwania niniejszej umowy, co spowoduje zastosowanie przez Wykonawcę obowiązującej stawki podatku VAT i skutkować będzie zmianą cen jednostkowych przesyłek,</w:t>
      </w:r>
    </w:p>
    <w:p w14:paraId="426E7B93" w14:textId="77777777" w:rsidR="00353996" w:rsidRPr="003C3635" w:rsidRDefault="00353996" w:rsidP="00353996">
      <w:pPr>
        <w:jc w:val="both"/>
        <w:rPr>
          <w:bCs/>
        </w:rPr>
      </w:pPr>
      <w:r w:rsidRPr="003C3635">
        <w:rPr>
          <w:bCs/>
        </w:rPr>
        <w:t xml:space="preserve">b) w przypadku zmiany „cen jednostkowych brutto” w poszczególnych pozycjach wpisanych przez Wykonawcę w Formularzu asortymentowo-cenowym (stanowiącym załącznik do umowy) w sytuacji spowodowanej zmianami tych cen w sposób dopuszczony przez Prawo Pocztowe (pod warunkiem wcześniejszego zatwierdzenia nowych cen usługi lub usług przez Prezesa Urzędu Komunikacji Elektronicznej); </w:t>
      </w:r>
      <w:bookmarkStart w:id="0" w:name="_Hlk120270197"/>
      <w:r w:rsidRPr="003C3635">
        <w:rPr>
          <w:bCs/>
        </w:rPr>
        <w:t xml:space="preserve">jeżeli w trakcie obowiązywania umowy nastąpi zmiana w zakresie cen </w:t>
      </w:r>
      <w:r w:rsidRPr="003C3635">
        <w:rPr>
          <w:bCs/>
        </w:rPr>
        <w:lastRenderedPageBreak/>
        <w:t>jednostkowych poszczególnych usług, Zamawiający, po uprzednim pisemnym zawiadomieniu ze strony Wykonawcy o zaistnieniu tego zdarzenia, zobowiązuje się do uiszczenia opłaty za świadczone usługi w wysokości obowiązującej na dzień wystawienia faktury VAT.</w:t>
      </w:r>
    </w:p>
    <w:bookmarkEnd w:id="0"/>
    <w:p w14:paraId="23878BAC" w14:textId="77777777" w:rsidR="00353996" w:rsidRPr="003C3635" w:rsidRDefault="00353996" w:rsidP="00353996">
      <w:pPr>
        <w:jc w:val="both"/>
        <w:rPr>
          <w:bCs/>
        </w:rPr>
      </w:pPr>
      <w:r w:rsidRPr="003C3635">
        <w:rPr>
          <w:bCs/>
        </w:rPr>
        <w:t>– jeżeli zmiany te będą miały wpływ na koszty wykonania zamówienia przez Wykonawcę.</w:t>
      </w:r>
    </w:p>
    <w:p w14:paraId="22061416" w14:textId="1DCA5756" w:rsidR="00353996" w:rsidRPr="003C3635" w:rsidRDefault="00353996" w:rsidP="00353996">
      <w:pPr>
        <w:widowControl/>
        <w:numPr>
          <w:ilvl w:val="0"/>
          <w:numId w:val="1"/>
        </w:numPr>
        <w:ind w:left="397" w:hanging="397"/>
        <w:jc w:val="both"/>
        <w:rPr>
          <w:bCs/>
        </w:rPr>
      </w:pPr>
      <w:r w:rsidRPr="003C3635">
        <w:rPr>
          <w:bCs/>
        </w:rPr>
        <w:t xml:space="preserve">Zakres rzeczowy usług – zestawienie ilościowe – </w:t>
      </w:r>
      <w:r w:rsidR="000244A5">
        <w:rPr>
          <w:bCs/>
        </w:rPr>
        <w:t xml:space="preserve">Kosztorys </w:t>
      </w:r>
      <w:r w:rsidRPr="003C3635">
        <w:rPr>
          <w:bCs/>
        </w:rPr>
        <w:t xml:space="preserve">ofertowy. </w:t>
      </w:r>
    </w:p>
    <w:p w14:paraId="5C6B951B" w14:textId="52265669" w:rsidR="0066228B" w:rsidRPr="0034666B" w:rsidRDefault="0066228B" w:rsidP="00353996">
      <w:pPr>
        <w:jc w:val="both"/>
      </w:pPr>
    </w:p>
    <w:sectPr w:rsidR="0066228B" w:rsidRPr="0034666B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793ED702" w14:textId="0C7874DE" w:rsidR="00353996" w:rsidRPr="00734C51" w:rsidRDefault="00353996" w:rsidP="0035399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345E43">
      <w:rPr>
        <w:b/>
        <w:bCs/>
        <w:i/>
        <w:iCs/>
        <w:sz w:val="20"/>
        <w:szCs w:val="20"/>
      </w:rPr>
      <w:t>29</w:t>
    </w:r>
    <w:r w:rsidRPr="00734C51">
      <w:rPr>
        <w:b/>
        <w:bCs/>
        <w:i/>
        <w:iCs/>
        <w:sz w:val="20"/>
        <w:szCs w:val="20"/>
      </w:rPr>
      <w:t>.202</w:t>
    </w:r>
    <w:r w:rsidR="00345E43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</w:t>
    </w:r>
    <w:r>
      <w:rPr>
        <w:b/>
        <w:bCs/>
        <w:i/>
        <w:iCs/>
        <w:sz w:val="20"/>
        <w:szCs w:val="20"/>
      </w:rPr>
      <w:t xml:space="preserve"> </w:t>
    </w:r>
    <w:r w:rsidRPr="00740B3B">
      <w:rPr>
        <w:b/>
        <w:bCs/>
        <w:i/>
        <w:iCs/>
        <w:sz w:val="20"/>
        <w:szCs w:val="20"/>
      </w:rPr>
      <w:t>„Usługi pocztowe dla Urzędu Miasta i Gminy Szamotuły w 202</w:t>
    </w:r>
    <w:r w:rsidR="00345E43">
      <w:rPr>
        <w:b/>
        <w:bCs/>
        <w:i/>
        <w:iCs/>
        <w:sz w:val="20"/>
        <w:szCs w:val="20"/>
      </w:rPr>
      <w:t>5</w:t>
    </w:r>
    <w:r w:rsidRPr="00740B3B">
      <w:rPr>
        <w:b/>
        <w:bCs/>
        <w:i/>
        <w:iCs/>
        <w:sz w:val="20"/>
        <w:szCs w:val="20"/>
      </w:rPr>
      <w:t xml:space="preserve"> roku”                                                                                                                                                        </w:t>
    </w:r>
    <w:r w:rsidRPr="00734C51">
      <w:rPr>
        <w:b/>
        <w:bCs/>
        <w:i/>
        <w:iCs/>
        <w:sz w:val="20"/>
        <w:szCs w:val="20"/>
      </w:rPr>
      <w:t xml:space="preserve"> </w:t>
    </w:r>
  </w:p>
  <w:p w14:paraId="625FC57D" w14:textId="2FF98DFD" w:rsidR="00472AFD" w:rsidRDefault="00472AFD" w:rsidP="00FF4B1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 </w:t>
    </w:r>
    <w:r w:rsidR="00FF4B18">
      <w:rPr>
        <w:b/>
        <w:bCs/>
        <w:iCs/>
        <w:sz w:val="20"/>
        <w:szCs w:val="20"/>
      </w:rPr>
      <w:t xml:space="preserve">                                               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322494">
    <w:abstractNumId w:val="1"/>
  </w:num>
  <w:num w:numId="2" w16cid:durableId="256715064">
    <w:abstractNumId w:val="23"/>
  </w:num>
  <w:num w:numId="3" w16cid:durableId="768358330">
    <w:abstractNumId w:val="13"/>
  </w:num>
  <w:num w:numId="4" w16cid:durableId="335304164">
    <w:abstractNumId w:val="3"/>
  </w:num>
  <w:num w:numId="5" w16cid:durableId="1178083308">
    <w:abstractNumId w:val="38"/>
  </w:num>
  <w:num w:numId="6" w16cid:durableId="509835670">
    <w:abstractNumId w:val="8"/>
  </w:num>
  <w:num w:numId="7" w16cid:durableId="798382669">
    <w:abstractNumId w:val="22"/>
  </w:num>
  <w:num w:numId="8" w16cid:durableId="1216308524">
    <w:abstractNumId w:val="28"/>
  </w:num>
  <w:num w:numId="9" w16cid:durableId="1967200071">
    <w:abstractNumId w:val="30"/>
  </w:num>
  <w:num w:numId="10" w16cid:durableId="1006177069">
    <w:abstractNumId w:val="26"/>
  </w:num>
  <w:num w:numId="11" w16cid:durableId="545878383">
    <w:abstractNumId w:val="19"/>
  </w:num>
  <w:num w:numId="12" w16cid:durableId="967007011">
    <w:abstractNumId w:val="18"/>
  </w:num>
  <w:num w:numId="13" w16cid:durableId="3094289">
    <w:abstractNumId w:val="11"/>
  </w:num>
  <w:num w:numId="14" w16cid:durableId="1693454084">
    <w:abstractNumId w:val="14"/>
  </w:num>
  <w:num w:numId="15" w16cid:durableId="278924888">
    <w:abstractNumId w:val="12"/>
  </w:num>
  <w:num w:numId="16" w16cid:durableId="1459640621">
    <w:abstractNumId w:val="7"/>
  </w:num>
  <w:num w:numId="17" w16cid:durableId="2141801314">
    <w:abstractNumId w:val="29"/>
  </w:num>
  <w:num w:numId="18" w16cid:durableId="671227666">
    <w:abstractNumId w:val="33"/>
  </w:num>
  <w:num w:numId="19" w16cid:durableId="1060907510">
    <w:abstractNumId w:val="27"/>
  </w:num>
  <w:num w:numId="20" w16cid:durableId="1964341524">
    <w:abstractNumId w:val="24"/>
  </w:num>
  <w:num w:numId="21" w16cid:durableId="1198615504">
    <w:abstractNumId w:val="35"/>
  </w:num>
  <w:num w:numId="22" w16cid:durableId="1185560388">
    <w:abstractNumId w:val="40"/>
  </w:num>
  <w:num w:numId="23" w16cid:durableId="1258978843">
    <w:abstractNumId w:val="34"/>
  </w:num>
  <w:num w:numId="24" w16cid:durableId="1369178696">
    <w:abstractNumId w:val="17"/>
  </w:num>
  <w:num w:numId="25" w16cid:durableId="990670259">
    <w:abstractNumId w:val="39"/>
  </w:num>
  <w:num w:numId="26" w16cid:durableId="1069696555">
    <w:abstractNumId w:val="31"/>
  </w:num>
  <w:num w:numId="27" w16cid:durableId="291910463">
    <w:abstractNumId w:val="21"/>
  </w:num>
  <w:num w:numId="28" w16cid:durableId="2705936">
    <w:abstractNumId w:val="15"/>
  </w:num>
  <w:num w:numId="29" w16cid:durableId="132480612">
    <w:abstractNumId w:val="25"/>
  </w:num>
  <w:num w:numId="30" w16cid:durableId="373117921">
    <w:abstractNumId w:val="16"/>
  </w:num>
  <w:num w:numId="31" w16cid:durableId="691803896">
    <w:abstractNumId w:val="2"/>
  </w:num>
  <w:num w:numId="32" w16cid:durableId="2111972407">
    <w:abstractNumId w:val="9"/>
  </w:num>
  <w:num w:numId="33" w16cid:durableId="28920520">
    <w:abstractNumId w:val="20"/>
  </w:num>
  <w:num w:numId="34" w16cid:durableId="913004125">
    <w:abstractNumId w:val="10"/>
  </w:num>
  <w:num w:numId="35" w16cid:durableId="284577176">
    <w:abstractNumId w:val="37"/>
  </w:num>
  <w:num w:numId="36" w16cid:durableId="16197015">
    <w:abstractNumId w:val="32"/>
  </w:num>
  <w:num w:numId="37" w16cid:durableId="246155704">
    <w:abstractNumId w:val="36"/>
  </w:num>
  <w:num w:numId="38" w16cid:durableId="36516296">
    <w:abstractNumId w:val="6"/>
  </w:num>
  <w:num w:numId="39" w16cid:durableId="77726162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4A5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E32EC"/>
    <w:rsid w:val="00276736"/>
    <w:rsid w:val="002A2FB6"/>
    <w:rsid w:val="002B040C"/>
    <w:rsid w:val="002D170A"/>
    <w:rsid w:val="003131A7"/>
    <w:rsid w:val="0032618E"/>
    <w:rsid w:val="003307E5"/>
    <w:rsid w:val="00330E6D"/>
    <w:rsid w:val="003407E4"/>
    <w:rsid w:val="00344972"/>
    <w:rsid w:val="00345E43"/>
    <w:rsid w:val="0034666B"/>
    <w:rsid w:val="00353996"/>
    <w:rsid w:val="00360243"/>
    <w:rsid w:val="00377AC1"/>
    <w:rsid w:val="0042325B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7B9D"/>
    <w:rsid w:val="005173D9"/>
    <w:rsid w:val="005346B3"/>
    <w:rsid w:val="00581941"/>
    <w:rsid w:val="00584F29"/>
    <w:rsid w:val="00591297"/>
    <w:rsid w:val="006078B6"/>
    <w:rsid w:val="0066228B"/>
    <w:rsid w:val="0066260F"/>
    <w:rsid w:val="00664847"/>
    <w:rsid w:val="006704D8"/>
    <w:rsid w:val="006B3DFD"/>
    <w:rsid w:val="006D5C3E"/>
    <w:rsid w:val="0070733A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C7DE8"/>
    <w:rsid w:val="008E7CDF"/>
    <w:rsid w:val="008F7B8E"/>
    <w:rsid w:val="0091236E"/>
    <w:rsid w:val="00917E55"/>
    <w:rsid w:val="0092475A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07E61"/>
    <w:rsid w:val="00BD4AD7"/>
    <w:rsid w:val="00BD79CB"/>
    <w:rsid w:val="00BE33BC"/>
    <w:rsid w:val="00BF142D"/>
    <w:rsid w:val="00C15E96"/>
    <w:rsid w:val="00C2686B"/>
    <w:rsid w:val="00C318EC"/>
    <w:rsid w:val="00C43410"/>
    <w:rsid w:val="00C43F93"/>
    <w:rsid w:val="00C5773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  <w:rsid w:val="00FF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0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2D170A"/>
  </w:style>
  <w:style w:type="character" w:customStyle="1" w:styleId="Nagwek1Znak">
    <w:name w:val="Nagłówek 1 Znak"/>
    <w:basedOn w:val="Domylnaczcionkaakapitu"/>
    <w:link w:val="Nagwek1"/>
    <w:uiPriority w:val="9"/>
    <w:rsid w:val="00353996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2024-11-28T13:16:00Z</dcterms:created>
  <dcterms:modified xsi:type="dcterms:W3CDTF">2024-11-28T13:16:00Z</dcterms:modified>
</cp:coreProperties>
</file>