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26" w:type="dxa"/>
        <w:jc w:val="center"/>
        <w:tblLayout w:type="fixed"/>
        <w:tblCellMar>
          <w:top w:w="28" w:type="dxa"/>
          <w:left w:w="64" w:type="dxa"/>
          <w:bottom w:w="28" w:type="dxa"/>
          <w:right w:w="64" w:type="dxa"/>
        </w:tblCellMar>
        <w:tblLook w:val="0000" w:firstRow="0" w:lastRow="0" w:firstColumn="0" w:lastColumn="0" w:noHBand="0" w:noVBand="0"/>
      </w:tblPr>
      <w:tblGrid>
        <w:gridCol w:w="515"/>
        <w:gridCol w:w="8211"/>
      </w:tblGrid>
      <w:tr w:rsidR="00FF1CF7" w:rsidRPr="00FF1CF7" w:rsidTr="0013409F">
        <w:trPr>
          <w:trHeight w:val="539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F7" w:rsidRPr="00FF1CF7" w:rsidRDefault="00FF1CF7" w:rsidP="00FF1C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FF1CF7">
              <w:rPr>
                <w:rFonts w:ascii="Arial" w:eastAsia="Times New Roman" w:hAnsi="Arial" w:cs="Arial"/>
                <w:lang w:eastAsia="ar-SA"/>
              </w:rPr>
              <w:t>31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F7" w:rsidRPr="00FF1CF7" w:rsidRDefault="00FF1CF7" w:rsidP="00FF1CF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F1CF7">
              <w:rPr>
                <w:rFonts w:ascii="Arial" w:eastAsia="Times New Roman" w:hAnsi="Arial" w:cs="Arial"/>
                <w:b/>
                <w:lang w:eastAsia="ar-SA"/>
              </w:rPr>
              <w:t>Opatrunek hydrożelowy:</w:t>
            </w:r>
          </w:p>
          <w:p w:rsidR="00FF1CF7" w:rsidRPr="00FF1CF7" w:rsidRDefault="00FF1CF7" w:rsidP="00FF1C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F1CF7">
              <w:rPr>
                <w:rFonts w:ascii="Arial" w:eastAsia="Times New Roman" w:hAnsi="Arial" w:cs="Arial"/>
                <w:b/>
                <w:lang w:eastAsia="ar-SA"/>
              </w:rPr>
              <w:t>Opatrunek przeznaczony do stosowania na twarz, posiada specjalne wycięcia i skrzydełka na usta, nos i oczy, rozmiary 28-40x40-60 cm – 2 szt.</w:t>
            </w:r>
          </w:p>
          <w:p w:rsidR="00FF1CF7" w:rsidRPr="00FF1CF7" w:rsidRDefault="00FF1CF7" w:rsidP="00FF1C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F1CF7">
              <w:rPr>
                <w:rFonts w:ascii="Arial" w:eastAsia="Times New Roman" w:hAnsi="Arial" w:cs="Arial"/>
                <w:b/>
                <w:lang w:eastAsia="ar-SA"/>
              </w:rPr>
              <w:t>Opatrunek mały o powierzchni 400 cm2 – 2 szt.</w:t>
            </w:r>
          </w:p>
          <w:p w:rsidR="00FF1CF7" w:rsidRPr="00FF1CF7" w:rsidRDefault="00FF1CF7" w:rsidP="00FF1C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F1CF7">
              <w:rPr>
                <w:rFonts w:ascii="Arial" w:eastAsia="Times New Roman" w:hAnsi="Arial" w:cs="Arial"/>
                <w:b/>
                <w:lang w:eastAsia="ar-SA"/>
              </w:rPr>
              <w:t>Opatrunek do natychmiastowego zastosowania  po nałożeniu na oparzone miejsce chłodzi je, łagodzi ból i chroni przed zanieczyszczeniem ran.</w:t>
            </w:r>
          </w:p>
          <w:p w:rsidR="00FF1CF7" w:rsidRPr="00FF1CF7" w:rsidRDefault="00FF1CF7" w:rsidP="00FF1C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F1CF7">
              <w:rPr>
                <w:rFonts w:ascii="Arial" w:eastAsia="Times New Roman" w:hAnsi="Arial" w:cs="Arial"/>
                <w:b/>
                <w:lang w:eastAsia="ar-SA"/>
              </w:rPr>
              <w:t>Opatrunek  nakładany bezpośrednio na ranę.</w:t>
            </w:r>
          </w:p>
          <w:p w:rsidR="00FF1CF7" w:rsidRPr="00FF1CF7" w:rsidRDefault="00FF1CF7" w:rsidP="00FF1C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F1CF7">
              <w:rPr>
                <w:rFonts w:ascii="Arial" w:eastAsia="Times New Roman" w:hAnsi="Arial" w:cs="Arial"/>
                <w:b/>
                <w:lang w:eastAsia="ar-SA"/>
              </w:rPr>
              <w:t>Po zastosowaniu na poparzone miejsce opatrunek można wielokrotnie zdejmować tak by kontrolować stan rany - opatrunek nie przykleja się do poparzonej powierzchni.</w:t>
            </w:r>
          </w:p>
          <w:p w:rsidR="00FF1CF7" w:rsidRPr="00FF1CF7" w:rsidRDefault="00FF1CF7" w:rsidP="00FF1C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F1CF7">
              <w:rPr>
                <w:rFonts w:ascii="Arial" w:eastAsia="Times New Roman" w:hAnsi="Arial" w:cs="Arial"/>
                <w:b/>
                <w:lang w:eastAsia="ar-SA"/>
              </w:rPr>
              <w:t>Opatrunek przeznaczony jest do wszystkich oparzeń termicznych bez względu na ich stopień.</w:t>
            </w:r>
          </w:p>
          <w:p w:rsidR="00FF1CF7" w:rsidRPr="00FF1CF7" w:rsidRDefault="00FF1CF7" w:rsidP="00FF1C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F1CF7">
              <w:rPr>
                <w:rFonts w:ascii="Arial" w:eastAsia="Times New Roman" w:hAnsi="Arial" w:cs="Arial"/>
                <w:b/>
                <w:lang w:eastAsia="ar-SA"/>
              </w:rPr>
              <w:t>Opatrunek ma formę materiału bazowego z naniesionym półpłynnym żelem. Dopuszczalny jest opatrunek hydrożelowy o konsystencji stałej, nierozpuszczalnej w wodzie.</w:t>
            </w:r>
          </w:p>
          <w:p w:rsidR="00FF1CF7" w:rsidRPr="00FF1CF7" w:rsidRDefault="00FF1CF7" w:rsidP="00FF1C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F1CF7">
              <w:rPr>
                <w:rFonts w:ascii="Arial" w:eastAsia="Times New Roman" w:hAnsi="Arial" w:cs="Arial"/>
                <w:b/>
                <w:lang w:eastAsia="ar-SA"/>
              </w:rPr>
              <w:t>Żel jest całkowicie nieszkodliwy dla błon śluzowych i ma działanie bakteriostatyczne.</w:t>
            </w:r>
          </w:p>
          <w:p w:rsidR="00FF1CF7" w:rsidRPr="00FF1CF7" w:rsidRDefault="00FF1CF7" w:rsidP="00FF1C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F1CF7">
              <w:rPr>
                <w:rFonts w:ascii="Arial" w:eastAsia="Times New Roman" w:hAnsi="Arial" w:cs="Arial"/>
                <w:b/>
                <w:lang w:eastAsia="ar-SA"/>
              </w:rPr>
              <w:t xml:space="preserve">Łatwy w transporcie, przechowywaniu i użyciu (możliwość składowania w temperaturze -5/+35 st.C). Dopuszczalny jest opatrunek o temperaturze przechowywania i stosowania od 0 st.C do 40 st.C. </w:t>
            </w:r>
          </w:p>
          <w:p w:rsidR="00FF1CF7" w:rsidRPr="00FF1CF7" w:rsidRDefault="00FF1CF7" w:rsidP="00FF1C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F1CF7">
              <w:rPr>
                <w:rFonts w:ascii="Arial" w:eastAsia="Times New Roman" w:hAnsi="Arial" w:cs="Arial"/>
                <w:b/>
                <w:lang w:eastAsia="ar-SA"/>
              </w:rPr>
              <w:t>Opakowanie w ciemnym kolorze: zielonym, oliwkowym, brązowym, khaki, piaskowym lub szarym.</w:t>
            </w:r>
          </w:p>
          <w:p w:rsidR="00FF1CF7" w:rsidRPr="00FF1CF7" w:rsidRDefault="00FF1CF7" w:rsidP="00FF1C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F1CF7">
              <w:rPr>
                <w:rFonts w:ascii="Arial" w:eastAsia="Times New Roman" w:hAnsi="Arial" w:cs="Arial"/>
                <w:b/>
                <w:lang w:eastAsia="ar-SA"/>
              </w:rPr>
              <w:t>Okres ważności minimum 5 lat.</w:t>
            </w:r>
          </w:p>
        </w:tc>
      </w:tr>
      <w:tr w:rsidR="00FF1CF7" w:rsidRPr="00FF1CF7" w:rsidTr="0013409F">
        <w:trPr>
          <w:trHeight w:val="539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F7" w:rsidRPr="00FF1CF7" w:rsidRDefault="00FF1CF7" w:rsidP="00FF1C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FF1CF7">
              <w:rPr>
                <w:rFonts w:ascii="Arial" w:eastAsia="Times New Roman" w:hAnsi="Arial" w:cs="Arial"/>
                <w:lang w:eastAsia="ar-SA"/>
              </w:rPr>
              <w:t>32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CF7" w:rsidRPr="00FF1CF7" w:rsidRDefault="00FF1CF7" w:rsidP="00FF1CF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F1CF7">
              <w:rPr>
                <w:rFonts w:ascii="Arial" w:eastAsia="Times New Roman" w:hAnsi="Arial" w:cs="Arial"/>
                <w:b/>
                <w:lang w:eastAsia="ar-SA"/>
              </w:rPr>
              <w:t>Hydrożel w butelce:</w:t>
            </w:r>
          </w:p>
          <w:p w:rsidR="00FF1CF7" w:rsidRPr="00FF1CF7" w:rsidRDefault="00FF1CF7" w:rsidP="00FF1CF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F1CF7">
              <w:rPr>
                <w:rFonts w:ascii="Arial" w:eastAsia="Times New Roman" w:hAnsi="Arial" w:cs="Arial"/>
                <w:b/>
                <w:lang w:eastAsia="ar-SA"/>
              </w:rPr>
              <w:t xml:space="preserve">Opakowanie min 100-150 ml. </w:t>
            </w:r>
          </w:p>
          <w:p w:rsidR="00FF1CF7" w:rsidRPr="00FF1CF7" w:rsidRDefault="00FF1CF7" w:rsidP="00FF1CF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49" w:hanging="329"/>
              <w:rPr>
                <w:rFonts w:ascii="Arial" w:eastAsia="Times New Roman" w:hAnsi="Arial" w:cs="Arial"/>
                <w:b/>
                <w:lang w:eastAsia="ar-SA"/>
              </w:rPr>
            </w:pPr>
            <w:r w:rsidRPr="00FF1CF7">
              <w:rPr>
                <w:rFonts w:ascii="Arial" w:eastAsia="Times New Roman" w:hAnsi="Arial" w:cs="Arial"/>
                <w:b/>
                <w:lang w:eastAsia="ar-SA"/>
              </w:rPr>
              <w:t>Hydrożel w butelce ma mieć takie same właściwości jak opatrunki opisany opatrunek hydrożelowy, z wyłączeniem nośnika materiału bazowego.</w:t>
            </w:r>
          </w:p>
          <w:p w:rsidR="00FF1CF7" w:rsidRPr="00FF1CF7" w:rsidRDefault="00FF1CF7" w:rsidP="00FF1CF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F1CF7">
              <w:rPr>
                <w:rFonts w:ascii="Arial" w:eastAsia="Times New Roman" w:hAnsi="Arial" w:cs="Arial"/>
                <w:b/>
                <w:lang w:eastAsia="ar-SA"/>
              </w:rPr>
              <w:t xml:space="preserve">Okres ważności minimum 5 lat. </w:t>
            </w:r>
          </w:p>
        </w:tc>
      </w:tr>
    </w:tbl>
    <w:p w:rsidR="007260EB" w:rsidRDefault="007260EB">
      <w:bookmarkStart w:id="0" w:name="_GoBack"/>
      <w:bookmarkEnd w:id="0"/>
    </w:p>
    <w:sectPr w:rsidR="00726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72E" w:rsidRDefault="0078572E" w:rsidP="00FF1CF7">
      <w:pPr>
        <w:spacing w:after="0" w:line="240" w:lineRule="auto"/>
      </w:pPr>
      <w:r>
        <w:separator/>
      </w:r>
    </w:p>
  </w:endnote>
  <w:endnote w:type="continuationSeparator" w:id="0">
    <w:p w:rsidR="0078572E" w:rsidRDefault="0078572E" w:rsidP="00FF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72E" w:rsidRDefault="0078572E" w:rsidP="00FF1CF7">
      <w:pPr>
        <w:spacing w:after="0" w:line="240" w:lineRule="auto"/>
      </w:pPr>
      <w:r>
        <w:separator/>
      </w:r>
    </w:p>
  </w:footnote>
  <w:footnote w:type="continuationSeparator" w:id="0">
    <w:p w:rsidR="0078572E" w:rsidRDefault="0078572E" w:rsidP="00FF1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2023"/>
    <w:multiLevelType w:val="hybridMultilevel"/>
    <w:tmpl w:val="53381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F0E6C"/>
    <w:multiLevelType w:val="hybridMultilevel"/>
    <w:tmpl w:val="F716D1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F7"/>
    <w:rsid w:val="007260EB"/>
    <w:rsid w:val="0078572E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3677DA-D035-43CB-92D5-824CBD39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CF7"/>
  </w:style>
  <w:style w:type="paragraph" w:styleId="Stopka">
    <w:name w:val="footer"/>
    <w:basedOn w:val="Normalny"/>
    <w:link w:val="StopkaZnak"/>
    <w:uiPriority w:val="99"/>
    <w:unhideWhenUsed/>
    <w:rsid w:val="00FF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BFD9C4D-0A67-4248-ACF6-EF56F95C667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Pilszczek Joanna</dc:creator>
  <cp:keywords/>
  <dc:description/>
  <cp:lastModifiedBy>Pilszczek Joanna</cp:lastModifiedBy>
  <cp:revision>1</cp:revision>
  <dcterms:created xsi:type="dcterms:W3CDTF">2021-11-09T14:30:00Z</dcterms:created>
  <dcterms:modified xsi:type="dcterms:W3CDTF">2021-11-09T14:32:00Z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5c28cddf-bbfa-41b3-b0c8-51748ecc46bc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95tMoNrgILRqRI+B+0pZvf1LKzDWO5/1</vt:lpwstr>
  </property>
</Properties>
</file>