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 dotyczące świadczenia usług medycznych</w:t>
      </w:r>
      <w:r>
        <w:rPr>
          <w:rFonts w:ascii="Times New Roman" w:hAnsi="Times New Roman"/>
          <w:sz w:val="26"/>
          <w:szCs w:val="26"/>
        </w:rPr>
        <w:br/>
        <w:t>w ramach profilaktycznej opieki zdrowotnej:</w:t>
      </w:r>
    </w:p>
    <w:p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Zgodnie z arkuszem cenowym stanowiącym integralną część oferty.</w:t>
      </w:r>
    </w:p>
    <w:p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387029">
        <w:rPr>
          <w:rFonts w:ascii="Times New Roman" w:hAnsi="Times New Roman"/>
          <w:sz w:val="26"/>
          <w:szCs w:val="26"/>
        </w:rPr>
        <w:t>(Dz. U. 2023 poz. 129).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:rsidR="00A82D13" w:rsidRDefault="00A82D13" w:rsidP="00A82D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p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387029"/>
    <w:rsid w:val="003F58C7"/>
    <w:rsid w:val="00A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</cp:revision>
  <dcterms:created xsi:type="dcterms:W3CDTF">2023-03-20T14:06:00Z</dcterms:created>
  <dcterms:modified xsi:type="dcterms:W3CDTF">2023-05-23T08:47:00Z</dcterms:modified>
</cp:coreProperties>
</file>