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80" w:rsidRDefault="00A414BA">
      <w:pPr>
        <w:pStyle w:val="Style26"/>
        <w:widowControl/>
        <w:tabs>
          <w:tab w:val="left" w:pos="3261"/>
        </w:tabs>
        <w:spacing w:line="276" w:lineRule="auto"/>
        <w:ind w:right="-142"/>
        <w:jc w:val="right"/>
        <w:rPr>
          <w:rStyle w:val="FontStyle36"/>
          <w:rFonts w:ascii="Arial" w:hAnsi="Arial" w:cs="Arial"/>
          <w:b w:val="0"/>
          <w:sz w:val="20"/>
          <w:szCs w:val="20"/>
        </w:rPr>
      </w:pPr>
      <w:r>
        <w:rPr>
          <w:rStyle w:val="FontStyle36"/>
          <w:rFonts w:cs="Arial"/>
          <w:b w:val="0"/>
          <w:sz w:val="20"/>
          <w:szCs w:val="20"/>
        </w:rPr>
        <w:t>Załącznik nr 11 do Umowy</w:t>
      </w:r>
    </w:p>
    <w:p w:rsidR="00F75180" w:rsidRDefault="00F75180">
      <w:pPr>
        <w:pStyle w:val="Style26"/>
        <w:widowControl/>
        <w:spacing w:line="276" w:lineRule="auto"/>
        <w:rPr>
          <w:rStyle w:val="FontStyle36"/>
          <w:rFonts w:ascii="Arial" w:hAnsi="Arial" w:cs="Arial"/>
          <w:sz w:val="24"/>
          <w:szCs w:val="24"/>
        </w:rPr>
      </w:pPr>
    </w:p>
    <w:p w:rsidR="00F75180" w:rsidRDefault="00F75180">
      <w:pPr>
        <w:pStyle w:val="Style26"/>
        <w:widowControl/>
        <w:spacing w:line="276" w:lineRule="auto"/>
        <w:rPr>
          <w:rStyle w:val="FontStyle36"/>
          <w:rFonts w:ascii="Arial" w:hAnsi="Arial" w:cs="Arial"/>
          <w:sz w:val="24"/>
          <w:szCs w:val="24"/>
        </w:rPr>
      </w:pPr>
    </w:p>
    <w:p w:rsidR="00F75180" w:rsidRDefault="00A414BA">
      <w:pPr>
        <w:pStyle w:val="Style26"/>
        <w:widowControl/>
        <w:spacing w:line="276" w:lineRule="auto"/>
        <w:jc w:val="center"/>
        <w:rPr>
          <w:rStyle w:val="FontStyle36"/>
          <w:rFonts w:ascii="Arial" w:hAnsi="Arial" w:cs="Arial"/>
          <w:sz w:val="24"/>
          <w:szCs w:val="24"/>
        </w:rPr>
      </w:pPr>
      <w:r>
        <w:rPr>
          <w:rStyle w:val="FontStyle36"/>
          <w:rFonts w:cs="Arial"/>
          <w:sz w:val="24"/>
          <w:szCs w:val="24"/>
        </w:rPr>
        <w:t>Zasady naliczania kar umownych</w:t>
      </w:r>
    </w:p>
    <w:p w:rsidR="00F75180" w:rsidRDefault="00F75180">
      <w:pPr>
        <w:pStyle w:val="Style26"/>
        <w:widowControl/>
        <w:spacing w:line="276" w:lineRule="auto"/>
        <w:rPr>
          <w:rStyle w:val="FontStyle36"/>
          <w:rFonts w:ascii="Arial" w:hAnsi="Arial" w:cs="Arial"/>
          <w:b w:val="0"/>
          <w:sz w:val="24"/>
          <w:szCs w:val="24"/>
        </w:rPr>
      </w:pPr>
    </w:p>
    <w:p w:rsidR="00F75180" w:rsidRDefault="00F75180"/>
    <w:p w:rsidR="00F75180" w:rsidRDefault="00A414B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W przypadku niewykonania lub nienależytego wykonania postanowień Umowy przez </w:t>
      </w:r>
      <w:r>
        <w:rPr>
          <w:rFonts w:eastAsia="MS Mincho"/>
          <w:sz w:val="22"/>
          <w:szCs w:val="22"/>
          <w:lang w:eastAsia="en-US"/>
        </w:rPr>
        <w:t>Podwyko</w:t>
      </w:r>
      <w:r>
        <w:rPr>
          <w:rFonts w:eastAsia="MS Mincho"/>
          <w:sz w:val="22"/>
          <w:szCs w:val="22"/>
          <w:lang w:eastAsia="en-US"/>
        </w:rPr>
        <w:t xml:space="preserve">nawcę, PKM ma prawo naliczenia kar umownych (dalej „kara”). </w:t>
      </w:r>
    </w:p>
    <w:p w:rsidR="00F75180" w:rsidRDefault="00A414B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en-US"/>
        </w:rPr>
        <w:t xml:space="preserve">Kary będą naliczane w odniesieniu do wartości </w:t>
      </w:r>
      <w:r>
        <w:rPr>
          <w:rFonts w:eastAsia="MS Mincho"/>
          <w:sz w:val="22"/>
          <w:szCs w:val="22"/>
          <w:lang w:eastAsia="en-US"/>
        </w:rPr>
        <w:t xml:space="preserve">Umowy (dalej „wartość”) lub według stawek, będących wielokrotnością stawki bazowej 4 zł będącej równowartością ceny biletu papierowego jednorazowego/krótkookresowego, normalnego o najniższym nominale, zgodnie z Taryfą obowiązującą w dniu podpisania umowy, </w:t>
      </w:r>
      <w:r>
        <w:rPr>
          <w:rFonts w:eastAsia="MS Mincho"/>
          <w:sz w:val="22"/>
          <w:szCs w:val="22"/>
          <w:lang w:eastAsia="en-US"/>
        </w:rPr>
        <w:t>stanowiącą podstawę do stosowania kary (dalej „krotność”).</w:t>
      </w:r>
    </w:p>
    <w:p w:rsidR="00F75180" w:rsidRDefault="00A414B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Kary te wynoszą:</w:t>
      </w:r>
    </w:p>
    <w:p w:rsidR="00F75180" w:rsidRDefault="00A414BA">
      <w:pPr>
        <w:pStyle w:val="Akapitzlist"/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bookmarkStart w:id="0" w:name="_Hlk80104309"/>
      <w:r>
        <w:rPr>
          <w:rFonts w:eastAsia="MS Mincho"/>
          <w:sz w:val="22"/>
          <w:szCs w:val="22"/>
          <w:lang w:eastAsia="en-US"/>
        </w:rPr>
        <w:t>0,5-krotności za każdy niezrealizowany wozokilometr na linii, z zastrzeżeniem ust. 25 lub 0,2-krotności za każdy wozokilometr wykonany taborem typu</w:t>
      </w:r>
      <w:bookmarkEnd w:id="0"/>
      <w:r>
        <w:rPr>
          <w:rFonts w:eastAsia="MS Mincho"/>
          <w:sz w:val="22"/>
          <w:szCs w:val="22"/>
          <w:lang w:eastAsia="en-US"/>
        </w:rPr>
        <w:t>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MN, AN w kursie, w którym w roz</w:t>
      </w:r>
      <w:r>
        <w:rPr>
          <w:rFonts w:ascii="Arial" w:hAnsi="Arial" w:cs="Arial"/>
          <w:sz w:val="22"/>
        </w:rPr>
        <w:t>kładzie jazdy przewidziany był tabor typu BN,</w:t>
      </w:r>
    </w:p>
    <w:p w:rsidR="00F75180" w:rsidRDefault="00A414BA">
      <w:pPr>
        <w:pStyle w:val="Akapitzlist"/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zasad określonych w § 1 ust. 7 Umowy,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każdy dzień braku ubezpieczenia, o którym mowa w § 6 ust. 2, 3 Umowy,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uniemożliwienie przeprowad</w:t>
      </w:r>
      <w:r>
        <w:rPr>
          <w:rFonts w:ascii="Arial" w:hAnsi="Arial" w:cs="Arial"/>
          <w:sz w:val="22"/>
        </w:rPr>
        <w:t xml:space="preserve">zenia kontroli jakości świadczenia usług, za każdy stwierdzony przypadek,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§ 3 ust. 11, lit. j) Umowy,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§ 3 ust. 11, lit. n) Umowy, z</w:t>
      </w:r>
      <w:r>
        <w:rPr>
          <w:rFonts w:ascii="Arial" w:hAnsi="Arial" w:cs="Arial"/>
          <w:sz w:val="22"/>
        </w:rPr>
        <w:t>a każdy stwierdzony przypadek,</w:t>
      </w:r>
    </w:p>
    <w:p w:rsidR="00F75180" w:rsidRDefault="00A414BA">
      <w:pPr>
        <w:pStyle w:val="Akapitzlist"/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0,01% wartości wskazanej w § 6 ust. 1 Umowy: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brak dysponowania bazą eksploatacyjną w rozumieniu art. 4 </w:t>
      </w:r>
      <w:proofErr w:type="spellStart"/>
      <w:r>
        <w:rPr>
          <w:rFonts w:ascii="Arial" w:hAnsi="Arial" w:cs="Arial"/>
          <w:sz w:val="22"/>
        </w:rPr>
        <w:t>pkt</w:t>
      </w:r>
      <w:proofErr w:type="spellEnd"/>
      <w:r>
        <w:rPr>
          <w:rFonts w:ascii="Arial" w:hAnsi="Arial" w:cs="Arial"/>
          <w:sz w:val="22"/>
        </w:rPr>
        <w:t xml:space="preserve"> 21a Ustawy z dnia 6 września 2001 r. o transporcie drogowym (Dz. U. z 2021 r. poz. 919, 1005) zlokalizowanej na </w:t>
      </w:r>
      <w:r>
        <w:rPr>
          <w:rFonts w:ascii="Arial" w:hAnsi="Arial" w:cs="Arial"/>
          <w:sz w:val="22"/>
        </w:rPr>
        <w:t>obszarze, na którym na dzień zawarcia Umowy ZTM pełni funkcję organizatora publicznego transportu zbiorowego, za każdy rozpoczęty miesiąc zwłoki w dysponowaniu taką bazą,</w:t>
      </w:r>
    </w:p>
    <w:p w:rsidR="00F75180" w:rsidRDefault="00A414BA">
      <w:pPr>
        <w:pStyle w:val="Akapitzlist"/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10% niezrealizowanej wartości umowy w przypadku odstąpienia od umowy lub jej rozwiąza</w:t>
      </w:r>
      <w:r>
        <w:rPr>
          <w:rFonts w:eastAsia="MS Mincho"/>
          <w:sz w:val="22"/>
          <w:szCs w:val="22"/>
          <w:lang w:eastAsia="en-US"/>
        </w:rPr>
        <w:t xml:space="preserve">nia z przyczyn leżących po stronie </w:t>
      </w:r>
      <w:r>
        <w:rPr>
          <w:rFonts w:eastAsia="MS Mincho"/>
          <w:sz w:val="22"/>
          <w:szCs w:val="22"/>
          <w:lang w:eastAsia="en-US"/>
        </w:rPr>
        <w:t>Podwyko</w:t>
      </w:r>
      <w:r>
        <w:rPr>
          <w:rFonts w:eastAsia="MS Mincho"/>
          <w:sz w:val="22"/>
          <w:szCs w:val="22"/>
          <w:lang w:eastAsia="en-US"/>
        </w:rPr>
        <w:t>nawcy.</w:t>
      </w:r>
    </w:p>
    <w:p w:rsidR="00F75180" w:rsidRDefault="00A414B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Załącznika nr 1 Wymagania wobec pojazdów Podwykonawcy do Umowy:</w:t>
      </w:r>
    </w:p>
    <w:p w:rsidR="00F75180" w:rsidRDefault="00A414BA">
      <w:pPr>
        <w:pStyle w:val="Akapitzlist"/>
        <w:widowControl/>
        <w:numPr>
          <w:ilvl w:val="0"/>
          <w:numId w:val="6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skierowanie do obsługi linii pojazdu niespełniającego jednego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z parametrów określonych w Załączniku nr 1 do Umowy, z wyłączeniem parametrów określonych w ust. 2 oraz 15 lit. b) oraz ust. 21 lit. a) z uwzględnieniem terminów określonych w tym Załączniku, za każdy pojazd oraz za każdy dzień obsługi linii takim pojazdem</w:t>
      </w:r>
      <w:r>
        <w:rPr>
          <w:rFonts w:ascii="Arial" w:hAnsi="Arial" w:cs="Arial"/>
          <w:sz w:val="22"/>
        </w:rPr>
        <w:t xml:space="preserve">, z zastrzeżeniem ust. 21 Załącznika nr 3 „Wymagania wobec </w:t>
      </w:r>
      <w:r>
        <w:rPr>
          <w:rFonts w:ascii="Arial" w:hAnsi="Arial" w:cs="Arial"/>
          <w:sz w:val="22"/>
        </w:rPr>
        <w:t>Podwyko</w:t>
      </w:r>
      <w:r>
        <w:rPr>
          <w:rFonts w:ascii="Arial" w:hAnsi="Arial" w:cs="Arial"/>
          <w:sz w:val="22"/>
        </w:rPr>
        <w:t>nawcy” do Umowy,</w:t>
      </w:r>
    </w:p>
    <w:p w:rsidR="00F75180" w:rsidRDefault="00A414BA">
      <w:pPr>
        <w:pStyle w:val="Akapitzlist"/>
        <w:widowControl/>
        <w:numPr>
          <w:ilvl w:val="0"/>
          <w:numId w:val="6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200-krotność: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 skierowanie do obsługi linii pojazdu niespełniającego od dwóch do pięciu parametrów określonych w Załączniku nr 1 do Umowy, z wyłączeniem parametrów określ</w:t>
      </w:r>
      <w:r>
        <w:rPr>
          <w:rFonts w:ascii="Arial" w:hAnsi="Arial" w:cs="Arial"/>
          <w:sz w:val="22"/>
        </w:rPr>
        <w:t xml:space="preserve">onych w ust. 2, oraz ust. 15 lit. b), oraz ust. 21 lit. a) z uwzględnieniem terminów określonych w tym Załączniku, za każdy pojazd oraz za każdy dzień obsługi linii takim pojazdem, z zastrzeżeniem ust. 21 Załącznika nr 3 „Wymagania wobec </w:t>
      </w:r>
      <w:r>
        <w:rPr>
          <w:rFonts w:ascii="Arial" w:hAnsi="Arial" w:cs="Arial"/>
          <w:sz w:val="22"/>
        </w:rPr>
        <w:t>Podwyko</w:t>
      </w:r>
      <w:r>
        <w:rPr>
          <w:rFonts w:ascii="Arial" w:hAnsi="Arial" w:cs="Arial"/>
          <w:sz w:val="22"/>
        </w:rPr>
        <w:t>nawcy” do U</w:t>
      </w:r>
      <w:r>
        <w:rPr>
          <w:rFonts w:ascii="Arial" w:hAnsi="Arial" w:cs="Arial"/>
          <w:sz w:val="22"/>
        </w:rPr>
        <w:t>mowy,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skierowanie do obsługi linii pojazdu kasownikiem lub kasownikami niesprawnymi lub niespełniającymi wymagań określonych w ust. 15 lit. b) Załącznika nr 1 do Umowy, w tym z nieprawidłowym, niepełnym lub nieczytelnym kodem kasowania,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skierowanie </w:t>
      </w:r>
      <w:r>
        <w:rPr>
          <w:rFonts w:ascii="Arial" w:hAnsi="Arial" w:cs="Arial"/>
          <w:sz w:val="22"/>
        </w:rPr>
        <w:t xml:space="preserve">do obsługi linii pojazdu niespełniającego wymagań określonych w ust. 21 lit. a) Załącznika nr 1 do Umowy, </w:t>
      </w:r>
    </w:p>
    <w:p w:rsidR="00F75180" w:rsidRDefault="00A414BA">
      <w:pPr>
        <w:pStyle w:val="Akapitzlist"/>
        <w:widowControl/>
        <w:numPr>
          <w:ilvl w:val="0"/>
          <w:numId w:val="6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500-krotność: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skierowanie do obsługi linii pojazdu niespełniającego co najmniej sześciu parametrów określonych w Załączniku nr 1 do Umowy, z wyłą</w:t>
      </w:r>
      <w:r>
        <w:rPr>
          <w:rFonts w:ascii="Arial" w:hAnsi="Arial" w:cs="Arial"/>
          <w:sz w:val="22"/>
        </w:rPr>
        <w:t>czeniem parametrów określonych w ust. 2 oraz ust. 15 lit. b) oraz ust. 21 lit. a) z uwzględnieniem terminów określonych w tym Załączniku, za każdy pojazd oraz za każdy dzień obsługi linii takim pojazdem, z zastrzeżeniem ust. 21 Załącznika nr 3 „Wymagania w</w:t>
      </w:r>
      <w:r>
        <w:rPr>
          <w:rFonts w:ascii="Arial" w:hAnsi="Arial" w:cs="Arial"/>
          <w:sz w:val="22"/>
        </w:rPr>
        <w:t xml:space="preserve">obec </w:t>
      </w:r>
      <w:r>
        <w:rPr>
          <w:rFonts w:ascii="Arial" w:hAnsi="Arial" w:cs="Arial"/>
          <w:sz w:val="22"/>
        </w:rPr>
        <w:t>Podwyko</w:t>
      </w:r>
      <w:r>
        <w:rPr>
          <w:rFonts w:ascii="Arial" w:hAnsi="Arial" w:cs="Arial"/>
          <w:sz w:val="22"/>
        </w:rPr>
        <w:t>nawcy” do Umowy,</w:t>
      </w:r>
    </w:p>
    <w:p w:rsidR="00F75180" w:rsidRDefault="00A414BA">
      <w:pPr>
        <w:pStyle w:val="Akapitzlist"/>
        <w:widowControl/>
        <w:numPr>
          <w:ilvl w:val="0"/>
          <w:numId w:val="6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1000-krotność: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2 – średnia wieku taboru niezgodna z zapisami tego ustępu – za każdy dzień świadczenia usług tego typu taborem. </w:t>
      </w:r>
    </w:p>
    <w:p w:rsidR="00F75180" w:rsidRDefault="00A414BA">
      <w:pPr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</w:t>
      </w:r>
      <w:r>
        <w:rPr>
          <w:sz w:val="22"/>
          <w:szCs w:val="22"/>
        </w:rPr>
        <w:t>ałącznika nr 3 Wymagania wobec Podwykonawcy do Umowy:</w:t>
      </w:r>
    </w:p>
    <w:p w:rsidR="00F75180" w:rsidRDefault="00A414BA">
      <w:pPr>
        <w:pStyle w:val="Akapitzlist"/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30-krotność: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1 – opóźnienie odjazdu z przystanku przekraczające 2 minuty i nie większe niż 15 minut, za każdy kurs w którym wystąpiła nieprawidłowość, z zastrzeżeniem ust. 2, </w:t>
      </w:r>
    </w:p>
    <w:p w:rsidR="00F75180" w:rsidRDefault="00A414BA">
      <w:pPr>
        <w:pStyle w:val="Akapitzlist"/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50-krotność: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</w:t>
      </w:r>
      <w:r>
        <w:rPr>
          <w:rFonts w:ascii="Arial" w:hAnsi="Arial" w:cs="Arial"/>
          <w:sz w:val="22"/>
        </w:rPr>
        <w:t xml:space="preserve">ów określonych w ust. 1 – opóźnienie odjazdu </w:t>
      </w:r>
      <w:r>
        <w:rPr>
          <w:rFonts w:ascii="Arial" w:hAnsi="Arial" w:cs="Arial"/>
          <w:sz w:val="22"/>
        </w:rPr>
        <w:br/>
        <w:t>z przystanku przekraczające 15 minut,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1 – przyśpieszenie odjazdu </w:t>
      </w:r>
      <w:r>
        <w:rPr>
          <w:rFonts w:ascii="Arial" w:hAnsi="Arial" w:cs="Arial"/>
          <w:sz w:val="22"/>
        </w:rPr>
        <w:br/>
        <w:t xml:space="preserve">z przystanku przekraczające 1 minutę i nie większe niż 5 minut, za każdy, </w:t>
      </w:r>
      <w:bookmarkStart w:id="1" w:name="_Hlk80615905"/>
      <w:r>
        <w:rPr>
          <w:rFonts w:ascii="Arial" w:hAnsi="Arial" w:cs="Arial"/>
          <w:sz w:val="22"/>
        </w:rPr>
        <w:t>kurs w którym wystą</w:t>
      </w:r>
      <w:r>
        <w:rPr>
          <w:rFonts w:ascii="Arial" w:hAnsi="Arial" w:cs="Arial"/>
          <w:sz w:val="22"/>
        </w:rPr>
        <w:t>piła nieprawidłowość, niezależnie od miejsca (przystanku) jej stwierdzenia</w:t>
      </w:r>
      <w:bookmarkEnd w:id="1"/>
      <w:r>
        <w:rPr>
          <w:rFonts w:ascii="Arial" w:hAnsi="Arial" w:cs="Arial"/>
          <w:sz w:val="22"/>
        </w:rPr>
        <w:t xml:space="preserve">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6 i ust. 7, za każdy stwierdzony przypadek,</w:t>
      </w:r>
    </w:p>
    <w:p w:rsidR="00F75180" w:rsidRDefault="00A414BA">
      <w:pPr>
        <w:pStyle w:val="Akapitzlist"/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70-krotność: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9 i ust. 13 (brak ko</w:t>
      </w:r>
      <w:r>
        <w:rPr>
          <w:rFonts w:ascii="Arial" w:hAnsi="Arial" w:cs="Arial"/>
          <w:sz w:val="22"/>
        </w:rPr>
        <w:t xml:space="preserve">ntaktu telefonicznego z ZTM w zakresie opisanym w ust. 9 oraz nieprzekazanie meldunku, o którym mowa w ust. 13 w sposób określony w tym ust., za każdy stwierdzony przypadek,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15, za każdy dzień zwłoki </w:t>
      </w:r>
      <w:r>
        <w:rPr>
          <w:rFonts w:ascii="Arial" w:hAnsi="Arial" w:cs="Arial"/>
          <w:sz w:val="22"/>
        </w:rPr>
        <w:br/>
        <w:t>w p</w:t>
      </w:r>
      <w:r>
        <w:rPr>
          <w:rFonts w:ascii="Arial" w:hAnsi="Arial" w:cs="Arial"/>
          <w:sz w:val="22"/>
        </w:rPr>
        <w:t xml:space="preserve">rzekazywaniu informacji opisanych w tym ustępie,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16, za każdy dzień zwłoki </w:t>
      </w:r>
      <w:r>
        <w:rPr>
          <w:rFonts w:ascii="Arial" w:hAnsi="Arial" w:cs="Arial"/>
          <w:sz w:val="22"/>
        </w:rPr>
        <w:br/>
        <w:t>w przekazaniu załącznika ZTM,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 niestosowanie się do zapisów określonych w ust. 17,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</w:t>
      </w:r>
      <w:r>
        <w:rPr>
          <w:rFonts w:ascii="Arial" w:hAnsi="Arial" w:cs="Arial"/>
          <w:sz w:val="22"/>
        </w:rPr>
        <w:t>wanie się do zapisów określonych w ust. 18,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realizację zadań przewozowych przez okres 48 godzin pojazdem, o którym mowa w ust. 20 oraz niezgodnie z zasadami, o których mowa w ust. 20,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</w:t>
      </w:r>
      <w:r>
        <w:rPr>
          <w:rFonts w:ascii="Arial" w:hAnsi="Arial" w:cs="Arial"/>
          <w:sz w:val="22"/>
        </w:rPr>
        <w:t xml:space="preserve">estosowanie się do zapisów określonych w ust. 22, za każdy dzień zwłoki </w:t>
      </w:r>
      <w:r>
        <w:rPr>
          <w:rFonts w:ascii="Arial" w:hAnsi="Arial" w:cs="Arial"/>
          <w:sz w:val="22"/>
        </w:rPr>
        <w:br/>
        <w:t>w aktualizacji wykazu, licząc od dnia poprzedzającego wprowadzenie zmian w wykazie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kierującego pojazdem do zapisów określonych </w:t>
      </w:r>
      <w:r>
        <w:rPr>
          <w:rFonts w:ascii="Arial" w:hAnsi="Arial" w:cs="Arial"/>
          <w:sz w:val="22"/>
        </w:rPr>
        <w:br/>
        <w:t>w ust. 24, za każdy stwierdzony pr</w:t>
      </w:r>
      <w:r>
        <w:rPr>
          <w:rFonts w:ascii="Arial" w:hAnsi="Arial" w:cs="Arial"/>
          <w:sz w:val="22"/>
        </w:rPr>
        <w:t>zypadek,</w:t>
      </w:r>
    </w:p>
    <w:p w:rsidR="00F75180" w:rsidRDefault="00A414BA">
      <w:pPr>
        <w:pStyle w:val="Akapitzlist"/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4, ust. 5 i ust. 8,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 – przyśpieszenie odjazdu z przystanku przekraczające 5 minut, za każdy kurs w</w:t>
      </w:r>
      <w:r>
        <w:rPr>
          <w:rFonts w:ascii="Arial" w:hAnsi="Arial" w:cs="Arial"/>
          <w:sz w:val="22"/>
        </w:rPr>
        <w:t xml:space="preserve"> którym wystąpiła nieprawidłowość, niezależnie od miejsca (przystanku) jej stwierdzenia,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10, za każdy dzień zwłoki w uzyskaniu takiej informacji,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niezastosowanie się do poleceń, o których mowa w ust. 11</w:t>
      </w:r>
      <w:r>
        <w:rPr>
          <w:rFonts w:ascii="Arial" w:hAnsi="Arial" w:cs="Arial"/>
          <w:sz w:val="22"/>
        </w:rPr>
        <w:t>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14,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23,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</w:t>
      </w:r>
      <w:r>
        <w:rPr>
          <w:rFonts w:ascii="Arial" w:hAnsi="Arial" w:cs="Arial"/>
          <w:sz w:val="22"/>
        </w:rPr>
        <w:t>ust. 26,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nieudostępnienie kontrolującemu karty drogowej oraz dokumentów, o których mowa w ust. 25 lit. h), za każdy stwierdzony przypadek,</w:t>
      </w:r>
    </w:p>
    <w:p w:rsidR="00F75180" w:rsidRDefault="00A414BA">
      <w:pPr>
        <w:pStyle w:val="Akapitzlist"/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21 – realizację </w:t>
      </w:r>
      <w:r>
        <w:rPr>
          <w:rFonts w:ascii="Arial" w:hAnsi="Arial" w:cs="Arial"/>
          <w:sz w:val="22"/>
        </w:rPr>
        <w:t>zadań przewozowych przez okres dłuższy niż 48 godzin pojazdem, o którym mowa w ust. 20, za każdy dzień realizacji usług takim pojazdem,</w:t>
      </w:r>
    </w:p>
    <w:p w:rsidR="00F75180" w:rsidRDefault="00A414BA">
      <w:pPr>
        <w:pStyle w:val="Akapitzlist"/>
        <w:widowControl/>
        <w:numPr>
          <w:ilvl w:val="0"/>
          <w:numId w:val="7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500-krotność: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każdą rozbieżność pomiędzy danymi ujętymi w dokumentacji, o której mowa </w:t>
      </w:r>
      <w:r>
        <w:rPr>
          <w:rFonts w:ascii="Arial" w:hAnsi="Arial" w:cs="Arial"/>
          <w:sz w:val="22"/>
        </w:rPr>
        <w:br/>
        <w:t>w ust. 15 i stanem faktycznym,</w:t>
      </w:r>
      <w:r>
        <w:rPr>
          <w:rFonts w:ascii="Arial" w:hAnsi="Arial" w:cs="Arial"/>
          <w:sz w:val="22"/>
        </w:rPr>
        <w:t xml:space="preserve">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brak karty drogowej lub niewypełniona karta drogowa, za każdy stwierdzony przypadek,</w:t>
      </w:r>
    </w:p>
    <w:p w:rsidR="00F75180" w:rsidRDefault="00A414BA">
      <w:pPr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Załącznika nr 4 Procedura dopuszczenia pojazdu do obsługi linii do Umowy:</w:t>
      </w:r>
    </w:p>
    <w:p w:rsidR="00F75180" w:rsidRDefault="00A414BA">
      <w:pPr>
        <w:pStyle w:val="Akapitzlist"/>
        <w:widowControl/>
        <w:numPr>
          <w:ilvl w:val="0"/>
          <w:numId w:val="8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>
        <w:rPr>
          <w:rFonts w:ascii="Arial" w:hAnsi="Arial" w:cs="Arial"/>
          <w:sz w:val="22"/>
        </w:rPr>
        <w:t>niestosowanie się do zapisów określonych w ust. 1 lit. a) i b),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 lit. c) i d),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 niestosowanie się do zapisów określonych w ust. 1 lit. h),</w:t>
      </w:r>
      <w:r>
        <w:rPr>
          <w:rFonts w:ascii="Arial" w:hAnsi="Arial" w:cs="Arial"/>
          <w:sz w:val="22"/>
        </w:rPr>
        <w:t xml:space="preserve"> w tym nieudostępnienie pojazdu do dodatkowej weryfikacji,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2 lit. a) i c),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3 lit. a), b), </w:t>
      </w:r>
      <w:r>
        <w:rPr>
          <w:rFonts w:ascii="Arial" w:hAnsi="Arial" w:cs="Arial"/>
          <w:sz w:val="22"/>
        </w:rPr>
        <w:t>c), d), e), za każdy stwierdzony przypadek,</w:t>
      </w:r>
    </w:p>
    <w:p w:rsidR="00F75180" w:rsidRDefault="00A414BA">
      <w:pPr>
        <w:pStyle w:val="Akapitzlist"/>
        <w:widowControl/>
        <w:numPr>
          <w:ilvl w:val="0"/>
          <w:numId w:val="8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realizację usługi przez pojazd niedopuszczony do obsługi linii zgodnie </w:t>
      </w:r>
      <w:r>
        <w:rPr>
          <w:rFonts w:ascii="Arial" w:hAnsi="Arial" w:cs="Arial"/>
          <w:sz w:val="22"/>
        </w:rPr>
        <w:br/>
        <w:t>z zasadami określonymi w tym Załączniku za każdy dzień realizacji usług takim pojazdem,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616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</w:t>
      </w:r>
      <w:r>
        <w:rPr>
          <w:sz w:val="22"/>
          <w:szCs w:val="22"/>
        </w:rPr>
        <w:t>iesieniu do Załącznika nr 5 Zasady stosowania przez Podwykonawcę elektronicznego systemu pobierania opłat za przejazdy do Umowy:</w:t>
      </w:r>
    </w:p>
    <w:p w:rsidR="00F75180" w:rsidRDefault="00A414BA">
      <w:pPr>
        <w:pStyle w:val="Akapitzlist"/>
        <w:widowControl/>
        <w:numPr>
          <w:ilvl w:val="0"/>
          <w:numId w:val="10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3 lit. h) – realizację usługi z niesprawnym jednym </w:t>
      </w:r>
      <w:r>
        <w:rPr>
          <w:rFonts w:ascii="Arial" w:hAnsi="Arial" w:cs="Arial"/>
          <w:sz w:val="22"/>
        </w:rPr>
        <w:t>kasownikiem,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3 lit. c) – niezgłaszanie usterek do </w:t>
      </w:r>
      <w:proofErr w:type="spellStart"/>
      <w:r>
        <w:rPr>
          <w:rFonts w:ascii="Arial" w:hAnsi="Arial" w:cs="Arial"/>
          <w:sz w:val="22"/>
        </w:rPr>
        <w:t>Helpdesku</w:t>
      </w:r>
      <w:proofErr w:type="spellEnd"/>
      <w:r>
        <w:rPr>
          <w:rFonts w:ascii="Arial" w:hAnsi="Arial" w:cs="Arial"/>
          <w:sz w:val="22"/>
        </w:rPr>
        <w:t>, za każdy stwierdzony przypadek,</w:t>
      </w:r>
    </w:p>
    <w:p w:rsidR="00F75180" w:rsidRDefault="00A414BA">
      <w:pPr>
        <w:pStyle w:val="Akapitzlist"/>
        <w:widowControl/>
        <w:numPr>
          <w:ilvl w:val="0"/>
          <w:numId w:val="10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d), za k</w:t>
      </w:r>
      <w:r>
        <w:rPr>
          <w:rFonts w:ascii="Arial" w:hAnsi="Arial" w:cs="Arial"/>
          <w:sz w:val="22"/>
        </w:rPr>
        <w:t>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f),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bookmarkStart w:id="2" w:name="_Hlk76372863"/>
      <w:r>
        <w:rPr>
          <w:rFonts w:ascii="Arial" w:hAnsi="Arial" w:cs="Arial"/>
          <w:sz w:val="22"/>
        </w:rPr>
        <w:t>za niestosowanie się do zapisów określonych w ust. 3 lit. g)</w:t>
      </w:r>
      <w:bookmarkEnd w:id="2"/>
      <w:r>
        <w:rPr>
          <w:rFonts w:ascii="Arial" w:hAnsi="Arial" w:cs="Arial"/>
          <w:sz w:val="22"/>
        </w:rPr>
        <w:t>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</w:t>
      </w:r>
      <w:r>
        <w:rPr>
          <w:rFonts w:ascii="Arial" w:hAnsi="Arial" w:cs="Arial"/>
          <w:sz w:val="22"/>
        </w:rPr>
        <w:t>ych w ust. 3 lit. h),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i),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j),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</w:t>
      </w:r>
      <w:r>
        <w:rPr>
          <w:rFonts w:ascii="Arial" w:hAnsi="Arial" w:cs="Arial"/>
          <w:sz w:val="22"/>
        </w:rPr>
        <w:t>ie się do zapisów określonych w ust. 3 lit. a) - za nieuzgodnienie z Zamawiającym zmiany konfiguracji UKP w pojeździe, za każdy stwierdzony przypadek,</w:t>
      </w:r>
    </w:p>
    <w:p w:rsidR="00F75180" w:rsidRDefault="00A414BA">
      <w:pPr>
        <w:pStyle w:val="Akapitzlist"/>
        <w:widowControl/>
        <w:numPr>
          <w:ilvl w:val="0"/>
          <w:numId w:val="10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500-krotność: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h) – realizację usługi z niespraw</w:t>
      </w:r>
      <w:r>
        <w:rPr>
          <w:rFonts w:ascii="Arial" w:hAnsi="Arial" w:cs="Arial"/>
          <w:sz w:val="22"/>
        </w:rPr>
        <w:t>nymi wszystkimi urządzeniami,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k) - za brak uzgodnienia zmiany lokalizacji urządzeń mobilnych między pojazdami, za każdy stwierdzony przypadek,</w:t>
      </w:r>
    </w:p>
    <w:p w:rsidR="00F75180" w:rsidRDefault="00A414BA">
      <w:pPr>
        <w:pStyle w:val="Akapitzlist"/>
        <w:widowControl/>
        <w:numPr>
          <w:ilvl w:val="0"/>
          <w:numId w:val="10"/>
        </w:numPr>
        <w:spacing w:line="276" w:lineRule="auto"/>
        <w:ind w:left="851" w:hanging="425"/>
        <w:jc w:val="both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1000-krotność: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</w:t>
      </w:r>
      <w:r>
        <w:rPr>
          <w:rFonts w:ascii="Arial" w:hAnsi="Arial" w:cs="Arial"/>
          <w:sz w:val="22"/>
        </w:rPr>
        <w:t>osowanie się do zapisów określonych w ust. 2 – realizację usługi pojazdem niewyposażonym w urządzenia do poboru opłat,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e), za każdy stwierdzony przypadek.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Stawki te w</w:t>
      </w:r>
      <w:r>
        <w:rPr>
          <w:sz w:val="22"/>
          <w:szCs w:val="22"/>
        </w:rPr>
        <w:t>ynoszą odpowiednio w odniesieniu do Załącznika nr 5a Standard wyposażenia pojazdów w urządzenia poboru opłat wariant „</w:t>
      </w:r>
      <w:proofErr w:type="spellStart"/>
      <w:r>
        <w:rPr>
          <w:sz w:val="22"/>
          <w:szCs w:val="22"/>
        </w:rPr>
        <w:t>Metrolinia</w:t>
      </w:r>
      <w:proofErr w:type="spellEnd"/>
      <w:r>
        <w:rPr>
          <w:sz w:val="22"/>
          <w:szCs w:val="22"/>
        </w:rPr>
        <w:t>” do Umowy:</w:t>
      </w:r>
    </w:p>
    <w:p w:rsidR="00F75180" w:rsidRDefault="00A414BA">
      <w:pPr>
        <w:pStyle w:val="Akapitzlist"/>
        <w:widowControl/>
        <w:numPr>
          <w:ilvl w:val="0"/>
          <w:numId w:val="9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200-krotność: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skierowanie do obsługi linii pojazdu niewyposażonego w wymaganą liczbę kasowników, określoną w </w:t>
      </w:r>
      <w:r>
        <w:rPr>
          <w:rFonts w:ascii="Arial" w:hAnsi="Arial" w:cs="Arial"/>
          <w:sz w:val="22"/>
        </w:rPr>
        <w:t>ust. 2 lit. c), za każdy dzień.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Załącznika nr 6 Wymagania wobec pracowników Podwykonawcy do Umowy:</w:t>
      </w:r>
    </w:p>
    <w:p w:rsidR="00F75180" w:rsidRDefault="00A414BA">
      <w:pPr>
        <w:pStyle w:val="Akapitzlist"/>
        <w:widowControl/>
        <w:numPr>
          <w:ilvl w:val="0"/>
          <w:numId w:val="11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30-krotność: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3 za każdy stwierdzony przypadek udzielenia </w:t>
      </w:r>
      <w:r>
        <w:rPr>
          <w:rFonts w:ascii="Arial" w:hAnsi="Arial" w:cs="Arial"/>
          <w:sz w:val="22"/>
        </w:rPr>
        <w:t>niewłaściwej informacji lub jej nieudzielenia w odniesieniu do każdego punktu zapisów taryfy lub przepisów porządkowych ZTM,</w:t>
      </w:r>
    </w:p>
    <w:p w:rsidR="00F75180" w:rsidRDefault="00A414BA">
      <w:pPr>
        <w:pStyle w:val="Akapitzlist"/>
        <w:widowControl/>
        <w:numPr>
          <w:ilvl w:val="0"/>
          <w:numId w:val="11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50-krotność: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 lit. od a do d, ust. 2, 8, 10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>
        <w:rPr>
          <w:rFonts w:ascii="Arial" w:hAnsi="Arial" w:cs="Arial"/>
          <w:sz w:val="22"/>
        </w:rPr>
        <w:t>dopuszczenie do wykonywania obowiązków służbowych dyspozytora lub kierującego pojazdem osoby nie posługującej się językiem polskim w stopniu komunikatywnym określonym w ust. 4,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</w:t>
      </w:r>
      <w:r>
        <w:rPr>
          <w:rFonts w:ascii="Arial" w:hAnsi="Arial" w:cs="Arial"/>
          <w:sz w:val="22"/>
        </w:rPr>
        <w:t>st. 5,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11, za uchybienie co najmniej jednego wymagania w odniesieniu do jednego kierującego pojazdem za każdy dzień, w którym niezgodność występowała,</w:t>
      </w:r>
    </w:p>
    <w:p w:rsidR="00F75180" w:rsidRDefault="00A414BA">
      <w:pPr>
        <w:pStyle w:val="Akapitzlist"/>
        <w:widowControl/>
        <w:numPr>
          <w:ilvl w:val="0"/>
          <w:numId w:val="11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70-krotność: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</w:t>
      </w:r>
      <w:r>
        <w:rPr>
          <w:rFonts w:ascii="Arial" w:hAnsi="Arial" w:cs="Arial"/>
          <w:sz w:val="22"/>
        </w:rPr>
        <w:t>sowanie się do zapisów określonych w ust. 6, za każdy stwierdzony przypadek,</w:t>
      </w:r>
    </w:p>
    <w:p w:rsidR="00F75180" w:rsidRDefault="00A414BA">
      <w:pPr>
        <w:pStyle w:val="Akapitzlist"/>
        <w:widowControl/>
        <w:numPr>
          <w:ilvl w:val="0"/>
          <w:numId w:val="11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7, uniemożliwienie ZTM czynności związanych z kontrolą, za każdy stwierdzony przypadek.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</w:t>
      </w:r>
      <w:r>
        <w:rPr>
          <w:sz w:val="22"/>
          <w:szCs w:val="22"/>
        </w:rPr>
        <w:t>nio w odniesieniu do Załącznika nr 7 Zasady komfortu termicznego do Umowy:</w:t>
      </w:r>
    </w:p>
    <w:p w:rsidR="00F75180" w:rsidRDefault="00A414BA">
      <w:pPr>
        <w:pStyle w:val="Akapitzlist"/>
        <w:widowControl/>
        <w:numPr>
          <w:ilvl w:val="0"/>
          <w:numId w:val="1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30-krotność: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4 i ust. 6,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8, za każdy </w:t>
      </w:r>
      <w:r>
        <w:rPr>
          <w:rFonts w:ascii="Arial" w:hAnsi="Arial" w:cs="Arial"/>
          <w:sz w:val="22"/>
        </w:rPr>
        <w:t>stwierdzony przypadek,</w:t>
      </w:r>
    </w:p>
    <w:p w:rsidR="00F75180" w:rsidRDefault="00A414BA">
      <w:pPr>
        <w:pStyle w:val="Akapitzlist"/>
        <w:widowControl/>
        <w:numPr>
          <w:ilvl w:val="0"/>
          <w:numId w:val="1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70-krotność: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1, ust. 2 oraz ust. 10 za każdy stwierdzony przypadek,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Załącznika nr 8 Zasady identyfikacji wizualnej i oznakowania autobu</w:t>
      </w:r>
      <w:r>
        <w:rPr>
          <w:sz w:val="22"/>
          <w:szCs w:val="22"/>
        </w:rPr>
        <w:t>sów do Umowy:</w:t>
      </w:r>
    </w:p>
    <w:p w:rsidR="00F75180" w:rsidRDefault="00A414BA">
      <w:pPr>
        <w:pStyle w:val="Akapitzlist"/>
        <w:widowControl/>
        <w:numPr>
          <w:ilvl w:val="0"/>
          <w:numId w:val="13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70-krotność: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5, brak, nieprawidłowy lub nieprawidłowo umieszczony numer taborowy pojazdu,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nieprawidłowe lub nieprawidłowo umieszczone logo </w:t>
      </w:r>
      <w:r>
        <w:rPr>
          <w:rFonts w:ascii="Arial" w:hAnsi="Arial" w:cs="Arial"/>
          <w:sz w:val="22"/>
        </w:rPr>
        <w:t>Podwyko</w:t>
      </w:r>
      <w:r>
        <w:rPr>
          <w:rFonts w:ascii="Arial" w:hAnsi="Arial" w:cs="Arial"/>
          <w:sz w:val="22"/>
        </w:rPr>
        <w:t xml:space="preserve">nawcy, za </w:t>
      </w:r>
      <w:r>
        <w:rPr>
          <w:rFonts w:ascii="Arial" w:hAnsi="Arial" w:cs="Arial"/>
          <w:sz w:val="22"/>
        </w:rPr>
        <w:t>każdy stwierdzony przypadek,</w:t>
      </w:r>
    </w:p>
    <w:p w:rsidR="00F75180" w:rsidRDefault="00A414BA">
      <w:pPr>
        <w:pStyle w:val="Akapitzlist"/>
        <w:widowControl/>
        <w:numPr>
          <w:ilvl w:val="0"/>
          <w:numId w:val="13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1 lit. b) i c), brak estetycznego wyglądu informacji w pojeździe, zużyte, zniszczone elementy identyfikacji </w:t>
      </w:r>
      <w:r>
        <w:rPr>
          <w:rFonts w:ascii="Arial" w:hAnsi="Arial" w:cs="Arial"/>
          <w:sz w:val="22"/>
        </w:rPr>
        <w:lastRenderedPageBreak/>
        <w:t>wizualnej lub umieszczenie elementów w miejscach innyc</w:t>
      </w:r>
      <w:r>
        <w:rPr>
          <w:rFonts w:ascii="Arial" w:hAnsi="Arial" w:cs="Arial"/>
          <w:sz w:val="22"/>
        </w:rPr>
        <w:t>h niż określone przez ZTM,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nieprzekazanie do akceptacji prototypu, projektów lub wizualizacji materiałów zgodnie z opisem w ust. 1 lit. d),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umieszczenie informacji dodatkowej lub dodatko</w:t>
      </w:r>
      <w:r>
        <w:rPr>
          <w:rFonts w:ascii="Arial" w:hAnsi="Arial" w:cs="Arial"/>
          <w:sz w:val="22"/>
        </w:rPr>
        <w:t>wego elementu bez pisemnej zgody ZTM,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2, niedokonanie wymiany poszczególnych elementów identyfikacji wizualnej w terminie określonym przez ZTM, za każdy stwierdzony przypade</w:t>
      </w:r>
      <w:r>
        <w:rPr>
          <w:rFonts w:ascii="Arial" w:hAnsi="Arial" w:cs="Arial"/>
          <w:sz w:val="22"/>
        </w:rPr>
        <w:t>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4 lit. a), nieprawidłowe, brak, nieprawidłowo umiejscowione logotypy,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8 lit. b), brak, nieprawidłowa i nieprawidłowo um</w:t>
      </w:r>
      <w:r>
        <w:rPr>
          <w:rFonts w:ascii="Arial" w:hAnsi="Arial" w:cs="Arial"/>
          <w:sz w:val="22"/>
        </w:rPr>
        <w:t xml:space="preserve">ieszczona ramka, za każdy stwierdzony przypadek,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11, brak, nieprawidłowo </w:t>
      </w:r>
      <w:r>
        <w:rPr>
          <w:rFonts w:ascii="Arial" w:hAnsi="Arial" w:cs="Arial"/>
          <w:sz w:val="22"/>
        </w:rPr>
        <w:br/>
        <w:t>i nieestetycznie umieszczony piktogram lub oznaczenie lub użycie nieprawidłowej wersji piktogramu, za każdy stwierdzony przypadek,</w:t>
      </w:r>
    </w:p>
    <w:p w:rsidR="00F75180" w:rsidRDefault="00A414BA">
      <w:pPr>
        <w:pStyle w:val="Akapitzlist"/>
        <w:widowControl/>
        <w:numPr>
          <w:ilvl w:val="0"/>
          <w:numId w:val="13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każdy dzień zwłoki w realizacji obowiązku wskazanego w ust. 3 lit. a) za każdy pojazd,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7, kolorystyka i elementy kolorystyki wnętrza, tapicerka, podłoga pojazdu niezgodna z zasadami tego </w:t>
      </w:r>
      <w:r>
        <w:rPr>
          <w:rFonts w:ascii="Arial" w:hAnsi="Arial" w:cs="Arial"/>
          <w:sz w:val="22"/>
        </w:rPr>
        <w:t>ustępu, za co najmniej jedno stwierdzone uchybienie w jednym pojeździe za każdy dzień,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8 lit. a), d), e), brak, nieprawidłowo i nieestetycznie umieszczony Regulamin i Taryfa, za każdy stwierdzony przypadek</w:t>
      </w:r>
      <w:r>
        <w:rPr>
          <w:rFonts w:ascii="Arial" w:hAnsi="Arial" w:cs="Arial"/>
          <w:sz w:val="22"/>
        </w:rPr>
        <w:t xml:space="preserve"> w jednym pojeździe za każdy dzień,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9 lit. a) – c), nieudostępnienie powierzchni reklamowej lub umieszczenie reklam w lub na pojeździe (kara będzie nakładana za każdy dzień kursowania pojazdu z reklamą </w:t>
      </w:r>
      <w:r>
        <w:rPr>
          <w:rFonts w:ascii="Arial" w:hAnsi="Arial" w:cs="Arial"/>
          <w:sz w:val="22"/>
        </w:rPr>
        <w:t>umieszczoną przez podmiot inny niż ZTM oraz za każdy dzień nie udostępnienia powierzchni reklamowej), za każdy stwierdzony przypadek w jednym pojeździe,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nieumieszczenie przekazanych </w:t>
      </w:r>
      <w:r>
        <w:rPr>
          <w:rFonts w:ascii="Arial" w:hAnsi="Arial" w:cs="Arial"/>
          <w:sz w:val="22"/>
        </w:rPr>
        <w:t>Podwyko</w:t>
      </w:r>
      <w:r>
        <w:rPr>
          <w:rFonts w:ascii="Arial" w:hAnsi="Arial" w:cs="Arial"/>
          <w:sz w:val="22"/>
        </w:rPr>
        <w:t>nawcy materiałów do ekspozycji, nieusunięcie informacji nieaktua</w:t>
      </w:r>
      <w:r>
        <w:rPr>
          <w:rFonts w:ascii="Arial" w:hAnsi="Arial" w:cs="Arial"/>
          <w:sz w:val="22"/>
        </w:rPr>
        <w:t>lnych,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12, elementy umieszczone bez zgody ZTM oraz bez zatwierdzenia ich wzoru z ZTM, dodatkowe elementy, ozdoby, przedmioty niezwiązane z wyposażeniem pojazdu, za każdy stw</w:t>
      </w:r>
      <w:r>
        <w:rPr>
          <w:rFonts w:ascii="Arial" w:hAnsi="Arial" w:cs="Arial"/>
          <w:sz w:val="22"/>
        </w:rPr>
        <w:t>ierdzony przypadek w jednym pojeździe za każdy dzień,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Załącznika nr 8a Standardy działania Systemu Informacji Pasażerskiej w pojazdach do Umowy:</w:t>
      </w:r>
    </w:p>
    <w:p w:rsidR="00F75180" w:rsidRDefault="00A414BA">
      <w:pPr>
        <w:pStyle w:val="Akapitzlist"/>
        <w:widowControl/>
        <w:numPr>
          <w:ilvl w:val="0"/>
          <w:numId w:val="14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stwierdzenie braku co najmniej jednej spośród </w:t>
      </w:r>
      <w:r>
        <w:rPr>
          <w:rFonts w:ascii="Arial" w:hAnsi="Arial" w:cs="Arial"/>
          <w:sz w:val="22"/>
        </w:rPr>
        <w:t>funkcjonalności określonych w ust. 2 lit. b) – e), w jednym pojeździe za każdy dzień,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5, za każdy stwierdzony przypadek</w:t>
      </w:r>
      <w:r>
        <w:rPr>
          <w:rFonts w:ascii="Arial" w:hAnsi="Arial" w:cs="Arial"/>
          <w:sz w:val="22"/>
        </w:rPr>
        <w:t>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 niestosowanie się do zapisów określonych w ust. 6,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7,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8, za każdy stwierdzony przypad</w:t>
      </w:r>
      <w:r>
        <w:rPr>
          <w:rFonts w:ascii="Arial" w:hAnsi="Arial" w:cs="Arial"/>
          <w:sz w:val="22"/>
        </w:rPr>
        <w:t>ek,</w:t>
      </w:r>
    </w:p>
    <w:p w:rsidR="00F75180" w:rsidRDefault="00A414BA">
      <w:pPr>
        <w:pStyle w:val="Akapitzlist"/>
        <w:widowControl/>
        <w:numPr>
          <w:ilvl w:val="0"/>
          <w:numId w:val="14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4 (kara w tej wysokości nakładana za każdą tablicę niezgodną z standardami), za każdy stwierdzony przypadek,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Stawki te wynoszą odpowiednio w odniesieniu do Załącznika nr 9 Zasady obsługi </w:t>
      </w:r>
      <w:r>
        <w:rPr>
          <w:sz w:val="22"/>
          <w:szCs w:val="22"/>
        </w:rPr>
        <w:t>pasażerów i przystanków do Umowy:</w:t>
      </w:r>
    </w:p>
    <w:p w:rsidR="00F75180" w:rsidRDefault="00A414BA">
      <w:pPr>
        <w:pStyle w:val="Akapitzlist"/>
        <w:widowControl/>
        <w:numPr>
          <w:ilvl w:val="0"/>
          <w:numId w:val="1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30-krotność: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3 lit. d), za każdy stwierdzony przypadek przez służby ZTM,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3, lit. g), za każdy stwierdzony przypadek,</w:t>
      </w:r>
    </w:p>
    <w:p w:rsidR="00F75180" w:rsidRDefault="00A414BA">
      <w:pPr>
        <w:pStyle w:val="Akapitzlist"/>
        <w:widowControl/>
        <w:numPr>
          <w:ilvl w:val="0"/>
          <w:numId w:val="1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>
        <w:rPr>
          <w:sz w:val="22"/>
          <w:szCs w:val="22"/>
        </w:rPr>
        <w:t>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7 lit. b), c),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7 lit. d), za każdy stwierdzony przypadek,</w:t>
      </w:r>
    </w:p>
    <w:p w:rsidR="00F75180" w:rsidRDefault="00A414BA">
      <w:pPr>
        <w:pStyle w:val="Akapitzlist"/>
        <w:widowControl/>
        <w:numPr>
          <w:ilvl w:val="0"/>
          <w:numId w:val="1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70-krotność: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3 lit. e), f), za każdy stwierdzony przypadek,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4 lit. a), c),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4 lit. d</w:t>
      </w:r>
      <w:r>
        <w:rPr>
          <w:rFonts w:ascii="Arial" w:hAnsi="Arial" w:cs="Arial"/>
          <w:sz w:val="22"/>
        </w:rPr>
        <w:t>), e), f)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5 lit. a), za każdy stwierdzony przypadek,</w:t>
      </w:r>
    </w:p>
    <w:p w:rsidR="00F75180" w:rsidRDefault="00A414BA">
      <w:pPr>
        <w:pStyle w:val="Akapitzlist"/>
        <w:widowControl/>
        <w:numPr>
          <w:ilvl w:val="0"/>
          <w:numId w:val="1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 lit. a),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</w:t>
      </w:r>
      <w:r>
        <w:rPr>
          <w:rFonts w:ascii="Arial" w:hAnsi="Arial" w:cs="Arial"/>
          <w:sz w:val="22"/>
        </w:rPr>
        <w:t>anie się do zapisów określonych w ust. 2 lit. a), b)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3 lit. a), b),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7 lit. a), 8, lit. a),</w:t>
      </w:r>
      <w:r>
        <w:rPr>
          <w:rFonts w:ascii="Arial" w:hAnsi="Arial" w:cs="Arial"/>
          <w:sz w:val="22"/>
        </w:rPr>
        <w:t xml:space="preserve"> b) i c), za każdy stwierdzony przypadek,</w:t>
      </w:r>
    </w:p>
    <w:p w:rsidR="00F75180" w:rsidRDefault="00A414BA">
      <w:pPr>
        <w:pStyle w:val="Akapitzlist"/>
        <w:widowControl/>
        <w:numPr>
          <w:ilvl w:val="0"/>
          <w:numId w:val="1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6 lit. a) za wyjątkiem tiret pierwszego i drugiego,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6 lit. d), za </w:t>
      </w:r>
      <w:r>
        <w:rPr>
          <w:rFonts w:ascii="Arial" w:hAnsi="Arial" w:cs="Arial"/>
          <w:sz w:val="22"/>
        </w:rPr>
        <w:t xml:space="preserve">każdy stwierdzony przypadek, 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6 lit. b), c) za każdy stwierdzony przypadek,</w:t>
      </w:r>
    </w:p>
    <w:p w:rsidR="00F75180" w:rsidRDefault="00A414BA">
      <w:pPr>
        <w:pStyle w:val="Akapitzlist"/>
        <w:widowControl/>
        <w:numPr>
          <w:ilvl w:val="0"/>
          <w:numId w:val="1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spożywanie alkoholu lub innych środków odurzających podczas wykonywania swoich obowiązków związanych z realizac</w:t>
      </w:r>
      <w:r>
        <w:rPr>
          <w:rFonts w:ascii="Arial" w:hAnsi="Arial" w:cs="Arial"/>
          <w:sz w:val="22"/>
        </w:rPr>
        <w:t xml:space="preserve">ją zadań przewozowych, wykonywanie zadań przewozowych w stanie wskazującym na spożycie alkoholu, za każdy stwierdzony przypadek. 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Załącznika nr 10 Zasady sprzedaży biletów przez Podwykonawcę i kontroli jej prz</w:t>
      </w:r>
      <w:r>
        <w:rPr>
          <w:sz w:val="22"/>
          <w:szCs w:val="22"/>
        </w:rPr>
        <w:t>estrzegania do Umowy:</w:t>
      </w:r>
    </w:p>
    <w:p w:rsidR="00F75180" w:rsidRDefault="00A414BA">
      <w:pPr>
        <w:pStyle w:val="Akapitzlist"/>
        <w:widowControl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1 – nieprowadzenie sprzedaży biletów, z zastrzeżeniem ust. 2,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niestosowanie się do zapisów określonych w ust. 2, za każdy stwierdzony </w:t>
      </w:r>
      <w:r>
        <w:rPr>
          <w:rFonts w:ascii="Arial" w:hAnsi="Arial" w:cs="Arial"/>
          <w:sz w:val="22"/>
        </w:rPr>
        <w:t>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6,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brak biletów dostępnych do sprzedaży u kierującego pojazdem,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odmowę sprzedaży biletów przez kierującego pojazdem,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</w:t>
      </w:r>
      <w:r>
        <w:rPr>
          <w:rFonts w:ascii="Arial" w:hAnsi="Arial" w:cs="Arial"/>
          <w:sz w:val="22"/>
        </w:rPr>
        <w:t>nych w ust. 3,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4 i 5 , za każdy stwierdzony przypadek.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Stawki te wynoszą odpowiednio w odniesieniu do Załącznika nr 14 Czystość i estetyka pojazdów do Umowy:</w:t>
      </w:r>
    </w:p>
    <w:p w:rsidR="00F75180" w:rsidRDefault="00A414BA">
      <w:pPr>
        <w:pStyle w:val="Akapitzlist"/>
        <w:widowControl/>
        <w:numPr>
          <w:ilvl w:val="0"/>
          <w:numId w:val="17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30-krotność: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</w:t>
      </w:r>
      <w:r>
        <w:rPr>
          <w:rFonts w:ascii="Arial" w:hAnsi="Arial" w:cs="Arial"/>
          <w:sz w:val="22"/>
        </w:rPr>
        <w:t xml:space="preserve"> pojazd nie spełniający wymogów określonych w ust. 2, za każdy stwierdzony przypadek,</w:t>
      </w:r>
    </w:p>
    <w:p w:rsidR="00F75180" w:rsidRDefault="00A414BA">
      <w:pPr>
        <w:pStyle w:val="Akapitzlist"/>
        <w:widowControl/>
        <w:numPr>
          <w:ilvl w:val="0"/>
          <w:numId w:val="17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70-krotność: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pojazd nie spełniający wymogów określonych w ust. 5, za każdy stwierdzony przypadek,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przedostawanie się do wnętrza autobusu wszelkich nieprzyjemnych dl</w:t>
      </w:r>
      <w:r>
        <w:rPr>
          <w:rFonts w:ascii="Arial" w:hAnsi="Arial" w:cs="Arial"/>
          <w:sz w:val="22"/>
        </w:rPr>
        <w:t>a pasażerów zapachów (paliwa, smarów, spalin, etc.).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Stawki te wynoszą odpowiednio w odniesieniu do Załącznika nr 16 Licencje do Umowy: </w:t>
      </w:r>
    </w:p>
    <w:p w:rsidR="00F75180" w:rsidRDefault="00A414BA">
      <w:pPr>
        <w:pStyle w:val="Akapitzlist"/>
        <w:widowControl/>
        <w:numPr>
          <w:ilvl w:val="0"/>
          <w:numId w:val="18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500-krotność: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niestosowanie się do zapisów określonych w ust. od 1 do 17, za każdy stwierdzony przypadek.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Stawki te</w:t>
      </w:r>
      <w:r>
        <w:rPr>
          <w:sz w:val="22"/>
          <w:szCs w:val="22"/>
        </w:rPr>
        <w:t xml:space="preserve"> wynoszą odpowiednio w odniesieniu do Załącznika nr 15 Wymogi dotyczące Systemu zliczania pasażerów w pojazdach do Umowy:</w:t>
      </w:r>
    </w:p>
    <w:p w:rsidR="00F75180" w:rsidRDefault="00A414BA">
      <w:pPr>
        <w:pStyle w:val="Akapitzlist"/>
        <w:widowControl/>
        <w:numPr>
          <w:ilvl w:val="0"/>
          <w:numId w:val="4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30-krotność: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każde stwierdzone przez ZTM lub PKM wystąpienie błędu B opisanego w ust. 14 lit. b) przekraczającego 3% w danym </w:t>
      </w:r>
      <w:r>
        <w:rPr>
          <w:rFonts w:ascii="Arial" w:hAnsi="Arial" w:cs="Arial"/>
          <w:sz w:val="22"/>
        </w:rPr>
        <w:t>pojeździe w dobie,</w:t>
      </w:r>
    </w:p>
    <w:p w:rsidR="00F75180" w:rsidRDefault="00A414BA">
      <w:pPr>
        <w:pStyle w:val="Akapitzlist"/>
        <w:widowControl/>
        <w:numPr>
          <w:ilvl w:val="0"/>
          <w:numId w:val="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50-krotność: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każde stwierdzone przez ZTM lub PKM wystąpienie błędu opisanego w ust. 15 od lit. a) do lit. d) przekraczającego 3% w danym pojeździe,</w:t>
      </w:r>
    </w:p>
    <w:p w:rsidR="00F75180" w:rsidRDefault="00A414BA">
      <w:pPr>
        <w:pStyle w:val="Akapitzlist"/>
        <w:widowControl/>
        <w:numPr>
          <w:ilvl w:val="0"/>
          <w:numId w:val="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100-krotność: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nieprzesłanie pliku Excel, o którym mowa w ust. 1 lit. h) w wyznaczon</w:t>
      </w:r>
      <w:r>
        <w:rPr>
          <w:rFonts w:ascii="Arial" w:hAnsi="Arial" w:cs="Arial"/>
          <w:sz w:val="22"/>
        </w:rPr>
        <w:t>ym terminie, za każdy rozpoczęty dzień opóźnienia w przesyłaniu pliku z danymi,</w:t>
      </w:r>
    </w:p>
    <w:p w:rsidR="00F75180" w:rsidRDefault="00A414BA">
      <w:pPr>
        <w:pStyle w:val="Akapitzlist"/>
        <w:widowControl/>
        <w:numPr>
          <w:ilvl w:val="0"/>
          <w:numId w:val="5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200-krotność:</w:t>
      </w:r>
    </w:p>
    <w:p w:rsidR="00F75180" w:rsidRDefault="00A414BA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 opóźnienie w przekazaniu kopii certyfikatu do PKM, o którym mowa w pkt. 1 lit. d) za każdy dzień zwłoki za każdy pojazd.</w:t>
      </w:r>
    </w:p>
    <w:p w:rsidR="00F75180" w:rsidRDefault="00A414BA">
      <w:pPr>
        <w:pStyle w:val="Akapitzlist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PKM nie będzie naliczał kar umownych z</w:t>
      </w:r>
      <w:r>
        <w:rPr>
          <w:sz w:val="22"/>
          <w:szCs w:val="22"/>
        </w:rPr>
        <w:t>a niewykonaną pracę eksploatacyjną, za spóźnienia i brak podstawienia autobusu zastępczego, w przypadku:</w:t>
      </w:r>
    </w:p>
    <w:p w:rsidR="00F75180" w:rsidRDefault="00A414BA">
      <w:pPr>
        <w:pStyle w:val="Akapitzlist"/>
        <w:widowControl/>
        <w:numPr>
          <w:ilvl w:val="0"/>
          <w:numId w:val="19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klęsk żywiołowych, powodzi, śnieżycy oraz innych gwałtownych zdarzeń atmosferycznych,</w:t>
      </w:r>
    </w:p>
    <w:p w:rsidR="00F75180" w:rsidRDefault="00A414BA">
      <w:pPr>
        <w:pStyle w:val="Akapitzlist"/>
        <w:widowControl/>
        <w:numPr>
          <w:ilvl w:val="0"/>
          <w:numId w:val="19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przeszkód drogowych i innych okoliczności zewnętrznych niezależny</w:t>
      </w:r>
      <w:r>
        <w:rPr>
          <w:sz w:val="22"/>
          <w:szCs w:val="22"/>
        </w:rPr>
        <w:t>ch od Podwykonawcy i udokumentowanych przez Podwykonawcę.</w:t>
      </w:r>
    </w:p>
    <w:p w:rsidR="00F75180" w:rsidRDefault="00A414BA">
      <w:pPr>
        <w:widowControl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Karami umownymi, o których mowa w ust. 1, PKM obciąży Podwykonawcę za każdy miesiąc kalendarzowy do 15. dnia następnego miesiąca, wystawiając stosowną notę księgową i przesyłając ją Podwykonawcy wra</w:t>
      </w:r>
      <w:r>
        <w:rPr>
          <w:sz w:val="22"/>
          <w:szCs w:val="22"/>
        </w:rPr>
        <w:t>z ze specyfikacją kar.</w:t>
      </w:r>
    </w:p>
    <w:p w:rsidR="00F75180" w:rsidRDefault="00A414BA">
      <w:pPr>
        <w:widowControl/>
        <w:numPr>
          <w:ilvl w:val="0"/>
          <w:numId w:val="28"/>
        </w:numPr>
        <w:tabs>
          <w:tab w:val="left" w:pos="0"/>
          <w:tab w:val="left" w:pos="142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Należności z tytułu kar umownych Podwykonawca będzie przelewał na rachunek bankowy PKM 46 1050 1142 1000 0022 6439 4442 w terminie 7 dni od daty wpływu noty księgowej. Za dzień uregulowania należności uważa się datę uznania rachunku </w:t>
      </w:r>
      <w:r>
        <w:rPr>
          <w:sz w:val="22"/>
          <w:szCs w:val="22"/>
        </w:rPr>
        <w:t>bankowego PKM, z zastrzeżeniem ust. 21 poniżej.</w:t>
      </w:r>
    </w:p>
    <w:p w:rsidR="00F75180" w:rsidRDefault="00A414BA">
      <w:pPr>
        <w:widowControl/>
        <w:numPr>
          <w:ilvl w:val="0"/>
          <w:numId w:val="29"/>
        </w:numPr>
        <w:tabs>
          <w:tab w:val="left" w:pos="0"/>
          <w:tab w:val="left" w:pos="142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niedotrzymania terminu, o którym mowa w ust. 19, Podwykonawca zapłaci PKM odsetki ustawowe.</w:t>
      </w:r>
    </w:p>
    <w:p w:rsidR="00F75180" w:rsidRDefault="00A414BA">
      <w:pPr>
        <w:widowControl/>
        <w:numPr>
          <w:ilvl w:val="0"/>
          <w:numId w:val="30"/>
        </w:numPr>
        <w:tabs>
          <w:tab w:val="left" w:pos="0"/>
          <w:tab w:val="left" w:pos="142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PKM może potrącić Podwykonawcy należność za kary umowne wraz z należnymi odsetkami z wynagrodzenia za wy</w:t>
      </w:r>
      <w:r>
        <w:rPr>
          <w:sz w:val="22"/>
          <w:szCs w:val="22"/>
        </w:rPr>
        <w:t>konanie przedmiotu niniejszej Umowy za najbliższy okres rozliczeniowy.</w:t>
      </w:r>
    </w:p>
    <w:p w:rsidR="00F75180" w:rsidRDefault="00A414BA">
      <w:pPr>
        <w:widowControl/>
        <w:numPr>
          <w:ilvl w:val="0"/>
          <w:numId w:val="31"/>
        </w:numPr>
        <w:tabs>
          <w:tab w:val="left" w:pos="0"/>
          <w:tab w:val="left" w:pos="142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PKM uwzględni wniesione przez Podwykonawcę uwagi do raportu pokontrolnego, o którym mowa w ust. 25 lit. e) Załącznika nr 3 „Wymagania wobec Podwykonawcy” do Umowy, już </w:t>
      </w:r>
      <w:r>
        <w:rPr>
          <w:sz w:val="22"/>
          <w:szCs w:val="22"/>
        </w:rPr>
        <w:t>po wystawieniu noty księgowej lub uregulowaniu należności wynikającej z tej noty, PKM wystawi podwykonawcy notę uznaniową.</w:t>
      </w:r>
    </w:p>
    <w:p w:rsidR="00F75180" w:rsidRDefault="00A414BA">
      <w:pPr>
        <w:widowControl/>
        <w:numPr>
          <w:ilvl w:val="0"/>
          <w:numId w:val="32"/>
        </w:numPr>
        <w:tabs>
          <w:tab w:val="left" w:pos="0"/>
          <w:tab w:val="left" w:pos="142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PKM nie będzie naliczał kar umownych za niewykonane wozokilometry, tj. kary, o których mowa w ust. 3 lit. a), w przypadku wykonania m</w:t>
      </w:r>
      <w:r>
        <w:rPr>
          <w:sz w:val="22"/>
          <w:szCs w:val="22"/>
        </w:rPr>
        <w:t xml:space="preserve">iesięcznej pracy eksploatacyjnej na poziomie wyższym niż 99,90% planowanych wozokilometrów na linii obsługiwanej </w:t>
      </w:r>
      <w:r>
        <w:rPr>
          <w:sz w:val="22"/>
          <w:szCs w:val="22"/>
        </w:rPr>
        <w:br/>
        <w:t>w miesiącu rozliczeniowym przez Podwykonawcę.</w:t>
      </w:r>
    </w:p>
    <w:sectPr w:rsidR="00F75180" w:rsidSect="00A41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77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80" w:rsidRDefault="00F75180" w:rsidP="00F75180">
      <w:r>
        <w:separator/>
      </w:r>
    </w:p>
  </w:endnote>
  <w:endnote w:type="continuationSeparator" w:id="0">
    <w:p w:rsidR="00F75180" w:rsidRDefault="00F75180" w:rsidP="00F7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850054"/>
      <w:docPartObj>
        <w:docPartGallery w:val="Page Numbers (Bottom of Page)"/>
        <w:docPartUnique/>
      </w:docPartObj>
    </w:sdtPr>
    <w:sdtContent>
      <w:p w:rsidR="00F75180" w:rsidRDefault="00F75180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A414BA"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A414BA">
          <w:rPr>
            <w:noProof/>
            <w:sz w:val="20"/>
            <w:szCs w:val="20"/>
          </w:rPr>
          <w:t>85</w:t>
        </w:r>
        <w:r>
          <w:rPr>
            <w:sz w:val="20"/>
            <w:szCs w:val="20"/>
          </w:rPr>
          <w:fldChar w:fldCharType="end"/>
        </w:r>
      </w:p>
    </w:sdtContent>
  </w:sdt>
  <w:p w:rsidR="00F75180" w:rsidRDefault="00F75180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80" w:rsidRDefault="00F75180" w:rsidP="00F75180">
      <w:r>
        <w:separator/>
      </w:r>
    </w:p>
  </w:footnote>
  <w:footnote w:type="continuationSeparator" w:id="0">
    <w:p w:rsidR="00F75180" w:rsidRDefault="00F75180" w:rsidP="00F7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80" w:rsidRDefault="00F75180">
    <w:pPr>
      <w:pStyle w:val="Header"/>
      <w:jc w:val="righ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BEF"/>
    <w:multiLevelType w:val="multilevel"/>
    <w:tmpl w:val="F46ECA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7127700"/>
    <w:multiLevelType w:val="multilevel"/>
    <w:tmpl w:val="010EB23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145C4AE1"/>
    <w:multiLevelType w:val="multilevel"/>
    <w:tmpl w:val="A290E8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191E40E4"/>
    <w:multiLevelType w:val="multilevel"/>
    <w:tmpl w:val="759200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200E6B65"/>
    <w:multiLevelType w:val="multilevel"/>
    <w:tmpl w:val="BE44DA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20C67E14"/>
    <w:multiLevelType w:val="multilevel"/>
    <w:tmpl w:val="0C42ADC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22FC4D86"/>
    <w:multiLevelType w:val="multilevel"/>
    <w:tmpl w:val="8FB21D2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263B683F"/>
    <w:multiLevelType w:val="multilevel"/>
    <w:tmpl w:val="FED0079E"/>
    <w:lvl w:ilvl="0">
      <w:start w:val="1"/>
      <w:numFmt w:val="bullet"/>
      <w:lvlText w:val="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8">
    <w:nsid w:val="2A843957"/>
    <w:multiLevelType w:val="multilevel"/>
    <w:tmpl w:val="D938B0E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nsid w:val="2F18798F"/>
    <w:multiLevelType w:val="multilevel"/>
    <w:tmpl w:val="5FA827B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32CE4992"/>
    <w:multiLevelType w:val="multilevel"/>
    <w:tmpl w:val="633C6E3A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1">
    <w:nsid w:val="3F3F0F0E"/>
    <w:multiLevelType w:val="multilevel"/>
    <w:tmpl w:val="6F78E33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">
    <w:nsid w:val="430964C1"/>
    <w:multiLevelType w:val="multilevel"/>
    <w:tmpl w:val="17D479B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43F66F42"/>
    <w:multiLevelType w:val="multilevel"/>
    <w:tmpl w:val="20D4B9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4A100C95"/>
    <w:multiLevelType w:val="multilevel"/>
    <w:tmpl w:val="8180AC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4A6558C7"/>
    <w:multiLevelType w:val="multilevel"/>
    <w:tmpl w:val="3CF842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CAC1AF8"/>
    <w:multiLevelType w:val="multilevel"/>
    <w:tmpl w:val="94D2ABA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4FC03270"/>
    <w:multiLevelType w:val="multilevel"/>
    <w:tmpl w:val="670A71CC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8">
    <w:nsid w:val="523B61DF"/>
    <w:multiLevelType w:val="multilevel"/>
    <w:tmpl w:val="E49006E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9">
    <w:nsid w:val="5CD51504"/>
    <w:multiLevelType w:val="multilevel"/>
    <w:tmpl w:val="DEFE37A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5E400710"/>
    <w:multiLevelType w:val="multilevel"/>
    <w:tmpl w:val="33A23B3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1">
    <w:nsid w:val="5F587D7D"/>
    <w:multiLevelType w:val="multilevel"/>
    <w:tmpl w:val="034E3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F9057C8"/>
    <w:multiLevelType w:val="multilevel"/>
    <w:tmpl w:val="DE3885F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>
    <w:nsid w:val="62D30371"/>
    <w:multiLevelType w:val="multilevel"/>
    <w:tmpl w:val="590EDAA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4">
    <w:nsid w:val="6DD01F40"/>
    <w:multiLevelType w:val="multilevel"/>
    <w:tmpl w:val="367CBCD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73A30865"/>
    <w:multiLevelType w:val="multilevel"/>
    <w:tmpl w:val="5D3C25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20"/>
  </w:num>
  <w:num w:numId="5">
    <w:abstractNumId w:val="10"/>
  </w:num>
  <w:num w:numId="6">
    <w:abstractNumId w:val="5"/>
  </w:num>
  <w:num w:numId="7">
    <w:abstractNumId w:val="23"/>
  </w:num>
  <w:num w:numId="8">
    <w:abstractNumId w:val="19"/>
  </w:num>
  <w:num w:numId="9">
    <w:abstractNumId w:val="4"/>
  </w:num>
  <w:num w:numId="10">
    <w:abstractNumId w:val="11"/>
  </w:num>
  <w:num w:numId="11">
    <w:abstractNumId w:val="12"/>
  </w:num>
  <w:num w:numId="12">
    <w:abstractNumId w:val="22"/>
  </w:num>
  <w:num w:numId="13">
    <w:abstractNumId w:val="16"/>
  </w:num>
  <w:num w:numId="14">
    <w:abstractNumId w:val="6"/>
  </w:num>
  <w:num w:numId="15">
    <w:abstractNumId w:val="24"/>
  </w:num>
  <w:num w:numId="16">
    <w:abstractNumId w:val="9"/>
  </w:num>
  <w:num w:numId="17">
    <w:abstractNumId w:val="1"/>
  </w:num>
  <w:num w:numId="18">
    <w:abstractNumId w:val="8"/>
  </w:num>
  <w:num w:numId="19">
    <w:abstractNumId w:val="17"/>
  </w:num>
  <w:num w:numId="20">
    <w:abstractNumId w:val="3"/>
  </w:num>
  <w:num w:numId="21">
    <w:abstractNumId w:val="13"/>
  </w:num>
  <w:num w:numId="22">
    <w:abstractNumId w:val="15"/>
  </w:num>
  <w:num w:numId="23">
    <w:abstractNumId w:val="25"/>
  </w:num>
  <w:num w:numId="24">
    <w:abstractNumId w:val="0"/>
  </w:num>
  <w:num w:numId="25">
    <w:abstractNumId w:val="2"/>
  </w:num>
  <w:num w:numId="26">
    <w:abstractNumId w:val="21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180"/>
    <w:rsid w:val="00A414BA"/>
    <w:rsid w:val="00F7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E50"/>
    <w:pPr>
      <w:widowControl w:val="0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uiPriority w:val="99"/>
    <w:qFormat/>
    <w:rsid w:val="00EB5A94"/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BodyTextIndentChar">
    <w:name w:val="Body Text Indent Char"/>
    <w:link w:val="BodyTextIndent1"/>
    <w:qFormat/>
    <w:rsid w:val="00E023E0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6014B6"/>
    <w:rPr>
      <w:rFonts w:ascii="Segoe UI" w:eastAsia="Times New Roman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D1295"/>
    <w:rPr>
      <w:rFonts w:ascii="Arial" w:eastAsia="Times New Roman" w:hAnsi="Arial" w:cs="Arial"/>
    </w:rPr>
  </w:style>
  <w:style w:type="character" w:customStyle="1" w:styleId="Zakotwiczenieprzypisudolnego">
    <w:name w:val="Zakotwiczenie przypisu dolnego"/>
    <w:rsid w:val="00F7518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D129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443DA7"/>
    <w:rPr>
      <w:rFonts w:ascii="Arial" w:eastAsia="Times New Roman" w:hAnsi="Arial" w:cs="Arial"/>
    </w:rPr>
  </w:style>
  <w:style w:type="character" w:customStyle="1" w:styleId="Zakotwiczenieprzypisukocowego">
    <w:name w:val="Zakotwiczenie przypisu końcowego"/>
    <w:rsid w:val="00F7518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3DA7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1F50"/>
    <w:rPr>
      <w:rFonts w:ascii="Arial" w:eastAsia="Times New Roman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391F50"/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2AA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72AAF"/>
    <w:rPr>
      <w:rFonts w:ascii="Arial" w:eastAsia="Times New Roman" w:hAnsi="Arial" w:cs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75E3"/>
    <w:rPr>
      <w:rFonts w:ascii="Arial" w:eastAsia="Times New Roman" w:hAnsi="Arial" w:cs="Arial"/>
      <w:b/>
      <w:bCs/>
    </w:rPr>
  </w:style>
  <w:style w:type="character" w:customStyle="1" w:styleId="TekstZnak">
    <w:name w:val="Tekst Znak"/>
    <w:basedOn w:val="Domylnaczcionkaakapitu"/>
    <w:link w:val="Tekst"/>
    <w:qFormat/>
    <w:rsid w:val="008F415F"/>
    <w:rPr>
      <w:rFonts w:ascii="Times New Roman" w:hAnsi="Times New Roman"/>
      <w:sz w:val="24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F751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75180"/>
    <w:pPr>
      <w:spacing w:after="140" w:line="276" w:lineRule="auto"/>
    </w:pPr>
  </w:style>
  <w:style w:type="paragraph" w:styleId="Lista">
    <w:name w:val="List"/>
    <w:basedOn w:val="Tekstpodstawowy"/>
    <w:rsid w:val="00F75180"/>
    <w:rPr>
      <w:rFonts w:cs="Lucida Sans"/>
    </w:rPr>
  </w:style>
  <w:style w:type="paragraph" w:customStyle="1" w:styleId="Caption">
    <w:name w:val="Caption"/>
    <w:basedOn w:val="Normalny"/>
    <w:qFormat/>
    <w:rsid w:val="00F7518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75180"/>
    <w:pPr>
      <w:suppressLineNumbers/>
    </w:pPr>
    <w:rPr>
      <w:rFonts w:cs="Lucida Sans"/>
    </w:rPr>
  </w:style>
  <w:style w:type="paragraph" w:customStyle="1" w:styleId="Style26">
    <w:name w:val="Style26"/>
    <w:basedOn w:val="Normalny"/>
    <w:uiPriority w:val="99"/>
    <w:qFormat/>
    <w:rsid w:val="00EB5A94"/>
  </w:style>
  <w:style w:type="paragraph" w:customStyle="1" w:styleId="Akapitzlist1">
    <w:name w:val="Akapit z listą1"/>
    <w:basedOn w:val="Normalny"/>
    <w:qFormat/>
    <w:rsid w:val="00EB5A94"/>
    <w:pPr>
      <w:widowControl/>
      <w:ind w:left="708"/>
    </w:pPr>
    <w:rPr>
      <w:sz w:val="20"/>
      <w:szCs w:val="20"/>
    </w:rPr>
  </w:style>
  <w:style w:type="paragraph" w:customStyle="1" w:styleId="BodyTextIndent1">
    <w:name w:val="Body Text Indent1"/>
    <w:basedOn w:val="Normalny"/>
    <w:link w:val="BodyTextIndentChar"/>
    <w:qFormat/>
    <w:rsid w:val="00E023E0"/>
    <w:pPr>
      <w:widowControl/>
      <w:spacing w:after="120"/>
      <w:ind w:left="283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1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1295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D1295"/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443DA7"/>
    <w:rPr>
      <w:sz w:val="20"/>
      <w:szCs w:val="20"/>
    </w:rPr>
  </w:style>
  <w:style w:type="paragraph" w:customStyle="1" w:styleId="Gwkaistopka">
    <w:name w:val="Główka i stopka"/>
    <w:basedOn w:val="Normalny"/>
    <w:qFormat/>
    <w:rsid w:val="00F75180"/>
  </w:style>
  <w:style w:type="paragraph" w:customStyle="1" w:styleId="Header">
    <w:name w:val="Header"/>
    <w:basedOn w:val="Normalny"/>
    <w:link w:val="NagwekZnak"/>
    <w:uiPriority w:val="99"/>
    <w:unhideWhenUsed/>
    <w:rsid w:val="00391F5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391F5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DC4FF7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72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B75E3"/>
    <w:rPr>
      <w:b/>
      <w:bCs/>
    </w:rPr>
  </w:style>
  <w:style w:type="paragraph" w:customStyle="1" w:styleId="Tekst">
    <w:name w:val="Tekst"/>
    <w:basedOn w:val="Normalny"/>
    <w:link w:val="TekstZnak"/>
    <w:qFormat/>
    <w:locked/>
    <w:rsid w:val="008F415F"/>
    <w:pPr>
      <w:widowControl/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Cs w:val="22"/>
      <w:lang w:eastAsia="en-US"/>
    </w:rPr>
  </w:style>
  <w:style w:type="paragraph" w:styleId="Poprawka">
    <w:name w:val="Revision"/>
    <w:uiPriority w:val="99"/>
    <w:semiHidden/>
    <w:qFormat/>
    <w:rsid w:val="008F415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66E2-7670-4B79-BC1E-F1E72B22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3052</Words>
  <Characters>18317</Characters>
  <Application>Microsoft Office Word</Application>
  <DocSecurity>0</DocSecurity>
  <Lines>152</Lines>
  <Paragraphs>42</Paragraphs>
  <ScaleCrop>false</ScaleCrop>
  <Company/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krogoz</dc:creator>
  <dc:description/>
  <cp:lastModifiedBy>Edyta Gruchała</cp:lastModifiedBy>
  <cp:revision>18</cp:revision>
  <cp:lastPrinted>2021-09-10T06:50:00Z</cp:lastPrinted>
  <dcterms:created xsi:type="dcterms:W3CDTF">2021-10-04T06:22:00Z</dcterms:created>
  <dcterms:modified xsi:type="dcterms:W3CDTF">2022-02-01T09:02:00Z</dcterms:modified>
  <dc:language>pl-PL</dc:language>
</cp:coreProperties>
</file>