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A37CB" w14:textId="77777777" w:rsidR="00E71644" w:rsidRDefault="00E71644" w:rsidP="00E71644">
      <w:pPr>
        <w:spacing w:after="0" w:line="276" w:lineRule="auto"/>
        <w:jc w:val="center"/>
        <w:rPr>
          <w:rFonts w:ascii="Calibri" w:hAnsi="Calibri" w:cs="Calibri"/>
          <w:b/>
          <w:bCs/>
          <w:sz w:val="28"/>
          <w:szCs w:val="28"/>
        </w:rPr>
      </w:pPr>
      <w:r w:rsidRPr="001F1964">
        <w:rPr>
          <w:rFonts w:ascii="Calibri" w:hAnsi="Calibri" w:cs="Calibri"/>
          <w:b/>
          <w:bCs/>
          <w:sz w:val="28"/>
          <w:szCs w:val="28"/>
        </w:rPr>
        <w:t>OPIS PRZEDMIOTU ZAMÓWIENIA</w:t>
      </w:r>
    </w:p>
    <w:p w14:paraId="7FBB2109" w14:textId="77777777" w:rsidR="00E71644" w:rsidRDefault="00E71644" w:rsidP="00E71644">
      <w:pPr>
        <w:widowControl w:val="0"/>
        <w:spacing w:after="0" w:line="312" w:lineRule="auto"/>
        <w:jc w:val="center"/>
        <w:rPr>
          <w:rFonts w:eastAsia="Times New Roman" w:cstheme="minorHAnsi"/>
          <w:b/>
          <w:bCs/>
          <w:sz w:val="28"/>
          <w:szCs w:val="28"/>
          <w:lang w:eastAsia="pl-PL"/>
        </w:rPr>
      </w:pPr>
    </w:p>
    <w:bookmarkStart w:id="0" w:name="OLE_LINK4" w:displacedByCustomXml="next"/>
    <w:bookmarkStart w:id="1" w:name="OLE_LINK7" w:displacedByCustomXml="next"/>
    <w:sdt>
      <w:sdtPr>
        <w:rPr>
          <w:rFonts w:ascii="Calibri" w:hAnsi="Calibri"/>
          <w:b/>
          <w:szCs w:val="24"/>
        </w:rPr>
        <w:alias w:val="nazwa"/>
        <w:tag w:val="nazwa post."/>
        <w:id w:val="-544592192"/>
        <w:placeholder>
          <w:docPart w:val="D314616FB460452B9F6A3E95F3890EF8"/>
        </w:placeholder>
      </w:sdtPr>
      <w:sdtEndPr>
        <w:rPr>
          <w:rFonts w:asciiTheme="minorHAnsi" w:hAnsiTheme="minorHAnsi"/>
          <w:b w:val="0"/>
          <w:sz w:val="22"/>
          <w:szCs w:val="22"/>
        </w:rPr>
      </w:sdtEndPr>
      <w:sdtContent>
        <w:p w14:paraId="4BD4F9AD" w14:textId="77777777" w:rsidR="00114F49" w:rsidRPr="00114F49" w:rsidRDefault="00114F49" w:rsidP="00114F49">
          <w:pPr>
            <w:spacing w:line="312" w:lineRule="auto"/>
            <w:jc w:val="center"/>
            <w:rPr>
              <w:sz w:val="22"/>
            </w:rPr>
          </w:pPr>
          <w:r w:rsidRPr="00114F49">
            <w:rPr>
              <w:rFonts w:ascii="Calibri" w:hAnsi="Calibri"/>
              <w:b/>
              <w:szCs w:val="24"/>
            </w:rPr>
            <w:t>Dostawa biurek wraz z montażem dla studentów z  niepełnosprawnościami Uniwersytetu Ekonomicznego we Wrocławiu</w:t>
          </w:r>
        </w:p>
      </w:sdtContent>
    </w:sdt>
    <w:bookmarkEnd w:id="0" w:displacedByCustomXml="prev"/>
    <w:bookmarkEnd w:id="1" w:displacedByCustomXml="prev"/>
    <w:p w14:paraId="22A6DCC1" w14:textId="18DC05BE" w:rsidR="00E71644" w:rsidRDefault="00E71644" w:rsidP="00E71644">
      <w:pPr>
        <w:widowControl w:val="0"/>
        <w:spacing w:after="0" w:line="312" w:lineRule="auto"/>
        <w:jc w:val="both"/>
        <w:rPr>
          <w:rFonts w:eastAsia="Times New Roman" w:cstheme="minorHAnsi"/>
          <w:b/>
          <w:bCs/>
          <w:lang w:eastAsia="pl-PL"/>
        </w:rPr>
      </w:pPr>
    </w:p>
    <w:p w14:paraId="766FA908" w14:textId="4C102F42" w:rsidR="00E71644" w:rsidRPr="00333C9F" w:rsidRDefault="003621F8" w:rsidP="00E71644">
      <w:pPr>
        <w:pStyle w:val="Nagwek1"/>
        <w:tabs>
          <w:tab w:val="left" w:pos="8955"/>
        </w:tabs>
        <w:spacing w:line="312" w:lineRule="auto"/>
        <w:ind w:left="1560" w:hanging="1560"/>
        <w:rPr>
          <w:rFonts w:asciiTheme="minorHAnsi" w:eastAsia="Times New Roman" w:hAnsiTheme="minorHAnsi" w:cstheme="minorHAnsi"/>
          <w:b/>
          <w:bCs/>
          <w:sz w:val="24"/>
          <w:szCs w:val="24"/>
          <w:lang w:eastAsia="pl-PL"/>
        </w:rPr>
      </w:pPr>
      <w:bookmarkStart w:id="2" w:name="_Toc127273183"/>
      <w:bookmarkStart w:id="3" w:name="_Toc129600246"/>
      <w:r>
        <w:rPr>
          <w:rFonts w:asciiTheme="minorHAnsi" w:eastAsia="Times New Roman" w:hAnsiTheme="minorHAnsi" w:cstheme="minorHAnsi"/>
          <w:b/>
          <w:bCs/>
          <w:sz w:val="24"/>
          <w:szCs w:val="24"/>
          <w:lang w:eastAsia="pl-PL"/>
        </w:rPr>
        <w:t xml:space="preserve"> I</w:t>
      </w:r>
      <w:r w:rsidR="00E71644" w:rsidRPr="00DD517F">
        <w:rPr>
          <w:rFonts w:asciiTheme="minorHAnsi" w:eastAsia="Times New Roman" w:hAnsiTheme="minorHAnsi" w:cstheme="minorHAnsi"/>
          <w:b/>
          <w:bCs/>
          <w:sz w:val="24"/>
          <w:szCs w:val="24"/>
          <w:lang w:eastAsia="pl-PL"/>
        </w:rPr>
        <w:t>NFORMACJE OGÓLNE</w:t>
      </w:r>
      <w:bookmarkEnd w:id="2"/>
      <w:bookmarkEnd w:id="3"/>
    </w:p>
    <w:tbl>
      <w:tblPr>
        <w:tblStyle w:val="Siatkatabelijasna"/>
        <w:tblW w:w="9766" w:type="dxa"/>
        <w:tblLook w:val="04A0" w:firstRow="1" w:lastRow="0" w:firstColumn="1" w:lastColumn="0" w:noHBand="0" w:noVBand="1"/>
      </w:tblPr>
      <w:tblGrid>
        <w:gridCol w:w="1273"/>
        <w:gridCol w:w="8493"/>
      </w:tblGrid>
      <w:tr w:rsidR="00E71644" w:rsidRPr="001B2563" w14:paraId="4D0E1A4E" w14:textId="77777777" w:rsidTr="00074469">
        <w:trPr>
          <w:trHeight w:val="57"/>
        </w:trPr>
        <w:tc>
          <w:tcPr>
            <w:tcW w:w="1273" w:type="dxa"/>
            <w:shd w:val="clear" w:color="auto" w:fill="004289"/>
          </w:tcPr>
          <w:p w14:paraId="34B49EB4" w14:textId="77777777" w:rsidR="00E71644" w:rsidRPr="001B2563" w:rsidRDefault="00E71644" w:rsidP="00074469">
            <w:pPr>
              <w:widowControl w:val="0"/>
              <w:spacing w:line="312" w:lineRule="auto"/>
              <w:rPr>
                <w:rFonts w:eastAsia="Times New Roman" w:cstheme="minorHAnsi"/>
                <w:bCs/>
                <w:i/>
              </w:rPr>
            </w:pPr>
            <w:r w:rsidRPr="001B2563">
              <w:rPr>
                <w:rFonts w:eastAsia="Times New Roman" w:cstheme="minorHAnsi"/>
                <w:bCs/>
                <w:i/>
              </w:rPr>
              <w:t>Gwarancja</w:t>
            </w:r>
          </w:p>
        </w:tc>
        <w:tc>
          <w:tcPr>
            <w:tcW w:w="8493" w:type="dxa"/>
          </w:tcPr>
          <w:p w14:paraId="1039308B" w14:textId="2C20B950" w:rsidR="00E71644" w:rsidRPr="00DB61C5" w:rsidRDefault="00E71644" w:rsidP="00074469">
            <w:pPr>
              <w:widowControl w:val="0"/>
              <w:spacing w:line="312" w:lineRule="auto"/>
              <w:jc w:val="both"/>
              <w:rPr>
                <w:rFonts w:eastAsia="Times New Roman" w:cstheme="minorHAnsi"/>
                <w:b/>
              </w:rPr>
            </w:pPr>
            <w:r w:rsidRPr="00DB61C5">
              <w:rPr>
                <w:rFonts w:eastAsia="Times New Roman" w:cstheme="minorHAnsi"/>
                <w:b/>
              </w:rPr>
              <w:t xml:space="preserve">Min. </w:t>
            </w:r>
            <w:r w:rsidR="00DB61C5" w:rsidRPr="00DB61C5">
              <w:rPr>
                <w:rFonts w:eastAsia="Times New Roman" w:cstheme="minorHAnsi"/>
                <w:b/>
              </w:rPr>
              <w:t>36 miesięcy na elementy konstrukcyjne, min 24 miesiące na elementy elektroniczne</w:t>
            </w:r>
            <w:r w:rsidR="00DB61C5">
              <w:rPr>
                <w:rFonts w:eastAsia="Times New Roman" w:cstheme="minorHAnsi"/>
                <w:b/>
              </w:rPr>
              <w:t>.</w:t>
            </w:r>
          </w:p>
          <w:p w14:paraId="7D07ED1B" w14:textId="4F7B8997" w:rsidR="00E71644" w:rsidRPr="001B2563" w:rsidRDefault="00E71644" w:rsidP="00074469">
            <w:pPr>
              <w:widowControl w:val="0"/>
              <w:spacing w:line="312" w:lineRule="auto"/>
              <w:jc w:val="both"/>
              <w:rPr>
                <w:rFonts w:eastAsia="Times New Roman" w:cstheme="minorHAnsi"/>
                <w:bCs/>
              </w:rPr>
            </w:pPr>
            <w:r w:rsidRPr="001B2563">
              <w:rPr>
                <w:rFonts w:eastAsia="Times New Roman" w:cstheme="minorHAnsi"/>
                <w:bCs/>
              </w:rPr>
              <w:t>Wykonawca ma obowiązek rozpatrzyć reklamację i powiadomić Zamawiającego o jej rozstrzygnięciu w terminie 14 dni</w:t>
            </w:r>
            <w:r w:rsidR="005C2E05">
              <w:rPr>
                <w:rFonts w:eastAsia="Times New Roman" w:cstheme="minorHAnsi"/>
                <w:bCs/>
              </w:rPr>
              <w:t xml:space="preserve"> kalendarzowych</w:t>
            </w:r>
            <w:r w:rsidRPr="001B2563">
              <w:rPr>
                <w:rFonts w:eastAsia="Times New Roman" w:cstheme="minorHAnsi"/>
                <w:bCs/>
              </w:rPr>
              <w:t xml:space="preserve"> od dnia zgłoszenia wady przez Zamawiającego. Termin ewentualnej naprawy Wykonawca każdorazowo ustali</w:t>
            </w:r>
            <w:r w:rsidR="00C83430">
              <w:rPr>
                <w:rFonts w:eastAsia="Times New Roman" w:cstheme="minorHAnsi"/>
                <w:bCs/>
              </w:rPr>
              <w:br/>
            </w:r>
            <w:r w:rsidRPr="001B2563">
              <w:rPr>
                <w:rFonts w:eastAsia="Times New Roman" w:cstheme="minorHAnsi"/>
                <w:bCs/>
              </w:rPr>
              <w:t xml:space="preserve"> z Zamawiającym. </w:t>
            </w:r>
          </w:p>
          <w:p w14:paraId="34200FE2" w14:textId="77777777" w:rsidR="00E71644" w:rsidRPr="001B2563" w:rsidRDefault="00E71644" w:rsidP="00074469">
            <w:pPr>
              <w:widowControl w:val="0"/>
              <w:spacing w:line="312" w:lineRule="auto"/>
              <w:jc w:val="both"/>
              <w:rPr>
                <w:rFonts w:eastAsia="Times New Roman" w:cstheme="minorHAnsi"/>
                <w:bCs/>
              </w:rPr>
            </w:pPr>
            <w:r w:rsidRPr="001B2563">
              <w:rPr>
                <w:rFonts w:eastAsia="Times New Roman" w:cstheme="minorHAnsi"/>
                <w:bCs/>
              </w:rPr>
              <w:t>Zgłoszenie ujawnionej przez Zamawiającego wady powinno nastąpić poprzez przesłanie do Wykonawcy zgłoszenia pocztą elektroniczną</w:t>
            </w:r>
            <w:r>
              <w:rPr>
                <w:rFonts w:eastAsia="Times New Roman" w:cstheme="minorHAnsi"/>
                <w:bCs/>
              </w:rPr>
              <w:t>.</w:t>
            </w:r>
          </w:p>
        </w:tc>
      </w:tr>
      <w:tr w:rsidR="00E71644" w:rsidRPr="001B2563" w14:paraId="550812CF" w14:textId="77777777" w:rsidTr="00074469">
        <w:trPr>
          <w:trHeight w:val="57"/>
        </w:trPr>
        <w:tc>
          <w:tcPr>
            <w:tcW w:w="1273" w:type="dxa"/>
            <w:shd w:val="clear" w:color="auto" w:fill="004289"/>
          </w:tcPr>
          <w:p w14:paraId="31140DEF" w14:textId="77777777" w:rsidR="00E71644" w:rsidRPr="001B2563" w:rsidRDefault="00E71644" w:rsidP="00074469">
            <w:pPr>
              <w:widowControl w:val="0"/>
              <w:spacing w:line="312" w:lineRule="auto"/>
              <w:rPr>
                <w:rFonts w:eastAsia="Times New Roman" w:cstheme="minorHAnsi"/>
                <w:bCs/>
                <w:i/>
              </w:rPr>
            </w:pPr>
            <w:r w:rsidRPr="001B2563">
              <w:rPr>
                <w:rFonts w:eastAsia="Times New Roman" w:cstheme="minorHAnsi"/>
                <w:bCs/>
                <w:i/>
              </w:rPr>
              <w:t>Pozostałe informacje</w:t>
            </w:r>
          </w:p>
        </w:tc>
        <w:tc>
          <w:tcPr>
            <w:tcW w:w="8493" w:type="dxa"/>
          </w:tcPr>
          <w:p w14:paraId="69675D5E" w14:textId="77777777" w:rsidR="00E71644" w:rsidRPr="001B2563" w:rsidRDefault="00E71644" w:rsidP="00E71644">
            <w:pPr>
              <w:widowControl w:val="0"/>
              <w:numPr>
                <w:ilvl w:val="0"/>
                <w:numId w:val="14"/>
              </w:numPr>
              <w:spacing w:line="312" w:lineRule="auto"/>
              <w:ind w:left="322" w:hanging="283"/>
              <w:jc w:val="both"/>
              <w:rPr>
                <w:rFonts w:eastAsia="Times New Roman" w:cstheme="minorHAnsi"/>
                <w:bCs/>
              </w:rPr>
            </w:pPr>
            <w:r w:rsidRPr="001B2563">
              <w:rPr>
                <w:rFonts w:eastAsia="Times New Roman" w:cstheme="minorHAnsi"/>
                <w:bCs/>
              </w:rPr>
              <w:t xml:space="preserve">Wszystkie podane wymiary gabarytowe opisywanych elementów i mebli mogą posiadać </w:t>
            </w:r>
            <w:r>
              <w:rPr>
                <w:rFonts w:eastAsia="Times New Roman" w:cstheme="minorHAnsi"/>
                <w:bCs/>
              </w:rPr>
              <w:t>2</w:t>
            </w:r>
            <w:r w:rsidRPr="001B2563">
              <w:rPr>
                <w:rFonts w:eastAsia="Times New Roman" w:cstheme="minorHAnsi"/>
                <w:bCs/>
              </w:rPr>
              <w:t>% tolerancji</w:t>
            </w:r>
            <w:r>
              <w:rPr>
                <w:rFonts w:eastAsia="Times New Roman" w:cstheme="minorHAnsi"/>
                <w:bCs/>
              </w:rPr>
              <w:t xml:space="preserve">, jeżeli opis pozycji nie stanowi inaczej </w:t>
            </w:r>
            <w:r w:rsidRPr="001B2563">
              <w:rPr>
                <w:rFonts w:eastAsia="Times New Roman" w:cstheme="minorHAnsi"/>
                <w:bCs/>
              </w:rPr>
              <w:t>. Ustawienie mebli w pomieszczeniach Zamawiającego musi być zgodne z wskazaniami Zamawiającego.</w:t>
            </w:r>
            <w:r w:rsidRPr="00F70F4C">
              <w:rPr>
                <w:rFonts w:asciiTheme="majorHAnsi" w:hAnsiTheme="majorHAnsi" w:cstheme="majorHAnsi"/>
              </w:rPr>
              <w:t xml:space="preserve"> </w:t>
            </w:r>
          </w:p>
          <w:p w14:paraId="3D75CD4B" w14:textId="77777777" w:rsidR="00E71644" w:rsidRDefault="00E71644" w:rsidP="00E71644">
            <w:pPr>
              <w:widowControl w:val="0"/>
              <w:numPr>
                <w:ilvl w:val="0"/>
                <w:numId w:val="14"/>
              </w:numPr>
              <w:spacing w:line="312" w:lineRule="auto"/>
              <w:ind w:left="322" w:hanging="283"/>
              <w:jc w:val="both"/>
              <w:rPr>
                <w:rFonts w:eastAsia="Times New Roman" w:cstheme="minorHAnsi"/>
              </w:rPr>
            </w:pPr>
            <w:r w:rsidRPr="00F50194">
              <w:rPr>
                <w:rFonts w:eastAsia="Times New Roman" w:cstheme="minorHAnsi"/>
              </w:rPr>
              <w:t>Dostarczone meble muszą być fabrycznie nowe (nieużywane), wolne od wad, pełnowartościowe, w pierwszym gatunku i nie noszące znamion użytkowania, właściwie opakowane, wykonane w ramach bezpiecznych t</w:t>
            </w:r>
            <w:r w:rsidRPr="00223176">
              <w:rPr>
                <w:rFonts w:eastAsia="Times New Roman" w:cstheme="minorHAnsi"/>
              </w:rPr>
              <w:t>echnologii, odpowiadające normom jakościowym, określonym we właściwych aktach prawnych i dopuszczone do wykorzystania w obiektach użyteczności publicznej, zgodnie z obowiązującymi przepisami prawa oraz posiadają wszelkie wymagane prawem atesty i świadectwa dopuszczające je do obrotu.</w:t>
            </w:r>
          </w:p>
          <w:p w14:paraId="6B519088" w14:textId="1BD32B2E" w:rsidR="00E71644" w:rsidRPr="007C6D84" w:rsidRDefault="00E71644" w:rsidP="00E71644">
            <w:pPr>
              <w:widowControl w:val="0"/>
              <w:numPr>
                <w:ilvl w:val="0"/>
                <w:numId w:val="14"/>
              </w:numPr>
              <w:spacing w:line="312" w:lineRule="auto"/>
              <w:ind w:left="322" w:hanging="283"/>
              <w:jc w:val="both"/>
              <w:rPr>
                <w:rFonts w:eastAsia="Times New Roman" w:cstheme="minorHAnsi"/>
              </w:rPr>
            </w:pPr>
            <w:r>
              <w:rPr>
                <w:rFonts w:eastAsia="Times New Roman" w:cstheme="minorHAnsi"/>
              </w:rPr>
              <w:t>W</w:t>
            </w:r>
            <w:r w:rsidRPr="004B7A03">
              <w:rPr>
                <w:rFonts w:eastAsia="Times New Roman" w:cstheme="minorHAnsi"/>
              </w:rPr>
              <w:t>szystkie dokumenty potwierdzające zgodność produktów z normami dotyczącymi jakości mebli biurowych oraz użytymi technologiami produkcji</w:t>
            </w:r>
            <w:r>
              <w:rPr>
                <w:rFonts w:eastAsia="Times New Roman" w:cstheme="minorHAnsi"/>
              </w:rPr>
              <w:t>,</w:t>
            </w:r>
            <w:r w:rsidRPr="004B7A03">
              <w:rPr>
                <w:rFonts w:eastAsia="Times New Roman" w:cstheme="minorHAnsi"/>
              </w:rPr>
              <w:t xml:space="preserve"> mają być wystawione dokładnie na tego samego producenta mebla wskazanego w karcie katalogowej produktu oraz formularzu cenowym</w:t>
            </w:r>
            <w:r>
              <w:rPr>
                <w:rFonts w:eastAsia="Times New Roman" w:cstheme="minorHAnsi"/>
              </w:rPr>
              <w:t>,</w:t>
            </w:r>
            <w:r w:rsidRPr="004B7A03">
              <w:rPr>
                <w:rFonts w:eastAsia="Times New Roman" w:cstheme="minorHAnsi"/>
              </w:rPr>
              <w:t xml:space="preserve"> w tabeli potwierdzającej nazwę producenta oraz informację</w:t>
            </w:r>
            <w:r w:rsidR="00C83430">
              <w:rPr>
                <w:rFonts w:eastAsia="Times New Roman" w:cstheme="minorHAnsi"/>
              </w:rPr>
              <w:br/>
            </w:r>
            <w:r w:rsidRPr="004B7A03">
              <w:rPr>
                <w:rFonts w:eastAsia="Times New Roman" w:cstheme="minorHAnsi"/>
              </w:rPr>
              <w:t xml:space="preserve"> z nazwą/symbolem/numerem katalogowym mebla</w:t>
            </w:r>
            <w:r>
              <w:rPr>
                <w:rFonts w:eastAsia="Times New Roman" w:cstheme="minorHAnsi"/>
              </w:rPr>
              <w:t xml:space="preserve">. Dokumenty powinny być </w:t>
            </w:r>
            <w:r w:rsidRPr="004027A7">
              <w:t>wystawione przez niezależną jednostkę uprawnioną do wydawania tego rodzaju zaświadczeń</w:t>
            </w:r>
            <w:r>
              <w:t>.</w:t>
            </w:r>
          </w:p>
          <w:p w14:paraId="544F677E" w14:textId="77777777" w:rsidR="00E71644" w:rsidRPr="00D31EF5" w:rsidRDefault="00E71644" w:rsidP="00E71644">
            <w:pPr>
              <w:widowControl w:val="0"/>
              <w:numPr>
                <w:ilvl w:val="0"/>
                <w:numId w:val="14"/>
              </w:numPr>
              <w:spacing w:line="312" w:lineRule="auto"/>
              <w:ind w:left="322" w:hanging="283"/>
              <w:jc w:val="both"/>
              <w:rPr>
                <w:rFonts w:eastAsia="Times New Roman" w:cstheme="minorHAnsi"/>
                <w:bCs/>
              </w:rPr>
            </w:pPr>
            <w:r w:rsidRPr="00D31EF5">
              <w:rPr>
                <w:rFonts w:eastAsia="Times New Roman" w:cstheme="minorHAnsi"/>
                <w:bCs/>
              </w:rPr>
              <w:t>Meble mają być przeznaczone do intensywnej eksploatacji w budynkach użyteczności publicznej.</w:t>
            </w:r>
          </w:p>
          <w:p w14:paraId="17696883" w14:textId="39365456" w:rsidR="00E71644" w:rsidRDefault="00C168F3" w:rsidP="00E71644">
            <w:pPr>
              <w:widowControl w:val="0"/>
              <w:numPr>
                <w:ilvl w:val="0"/>
                <w:numId w:val="14"/>
              </w:numPr>
              <w:spacing w:line="312" w:lineRule="auto"/>
              <w:ind w:left="322" w:hanging="283"/>
              <w:jc w:val="both"/>
              <w:rPr>
                <w:rFonts w:eastAsia="Times New Roman" w:cstheme="minorHAnsi"/>
                <w:bCs/>
              </w:rPr>
            </w:pPr>
            <w:r>
              <w:rPr>
                <w:rFonts w:eastAsia="Times New Roman" w:cstheme="minorHAnsi"/>
                <w:bCs/>
              </w:rPr>
              <w:t>Meble zostaną dostarczone wraz ze wniesieniem</w:t>
            </w:r>
            <w:r w:rsidR="00C83430">
              <w:rPr>
                <w:rFonts w:eastAsia="Times New Roman" w:cstheme="minorHAnsi"/>
                <w:bCs/>
              </w:rPr>
              <w:t>, rozpakowaniem, montażem oraz zabraniem do utylizacji odpadów</w:t>
            </w:r>
            <w:r w:rsidR="006D0A21">
              <w:rPr>
                <w:rFonts w:eastAsia="Times New Roman" w:cstheme="minorHAnsi"/>
                <w:bCs/>
              </w:rPr>
              <w:t xml:space="preserve"> </w:t>
            </w:r>
            <w:r w:rsidR="00C83430">
              <w:rPr>
                <w:rFonts w:eastAsia="Times New Roman" w:cstheme="minorHAnsi"/>
                <w:bCs/>
              </w:rPr>
              <w:t xml:space="preserve">(m.in. kartony, styropian, folie itp.) </w:t>
            </w:r>
            <w:r>
              <w:rPr>
                <w:rFonts w:eastAsia="Times New Roman" w:cstheme="minorHAnsi"/>
                <w:bCs/>
              </w:rPr>
              <w:t xml:space="preserve"> w miejsce wskazane przez Zamawiającego (teren głównego kampusu UEW</w:t>
            </w:r>
            <w:r w:rsidR="00C83430">
              <w:t>, ale do różnych budynków pomiędzy Ślężną, Kamienną, Komandorską i Wielką</w:t>
            </w:r>
            <w:r>
              <w:rPr>
                <w:rFonts w:eastAsia="Times New Roman" w:cstheme="minorHAnsi"/>
                <w:bCs/>
              </w:rPr>
              <w:t>).</w:t>
            </w:r>
          </w:p>
          <w:p w14:paraId="5468D6DF" w14:textId="44EC78C8" w:rsidR="006D0A21" w:rsidRPr="007D78F3" w:rsidRDefault="006D0A21" w:rsidP="00E71644">
            <w:pPr>
              <w:widowControl w:val="0"/>
              <w:numPr>
                <w:ilvl w:val="0"/>
                <w:numId w:val="14"/>
              </w:numPr>
              <w:spacing w:line="312" w:lineRule="auto"/>
              <w:ind w:left="322" w:hanging="283"/>
              <w:jc w:val="both"/>
              <w:rPr>
                <w:rFonts w:eastAsia="Times New Roman" w:cstheme="minorHAnsi"/>
                <w:bCs/>
              </w:rPr>
            </w:pPr>
            <w:r>
              <w:rPr>
                <w:rFonts w:eastAsia="Times New Roman" w:cstheme="minorHAnsi"/>
                <w:bCs/>
              </w:rPr>
              <w:t xml:space="preserve">Montaż mebli należy wykonać w godz. 8-16 </w:t>
            </w:r>
            <w:r w:rsidR="00A73356">
              <w:rPr>
                <w:rFonts w:eastAsia="Times New Roman" w:cstheme="minorHAnsi"/>
                <w:bCs/>
              </w:rPr>
              <w:t>do 2 dni roboczych od dnia dostawy.</w:t>
            </w:r>
            <w:r>
              <w:rPr>
                <w:rFonts w:eastAsia="Times New Roman" w:cstheme="minorHAnsi"/>
                <w:bCs/>
              </w:rPr>
              <w:t xml:space="preserve"> </w:t>
            </w:r>
          </w:p>
        </w:tc>
      </w:tr>
    </w:tbl>
    <w:p w14:paraId="31C67B52" w14:textId="77777777" w:rsidR="00E71644" w:rsidRDefault="00E71644" w:rsidP="00E71644">
      <w:pPr>
        <w:widowControl w:val="0"/>
        <w:spacing w:after="0" w:line="312" w:lineRule="auto"/>
        <w:jc w:val="both"/>
        <w:rPr>
          <w:rFonts w:eastAsia="Times New Roman" w:cstheme="minorHAnsi"/>
          <w:lang w:eastAsia="pl-PL"/>
        </w:rPr>
      </w:pPr>
    </w:p>
    <w:p w14:paraId="61CBB962" w14:textId="04F00DA9" w:rsidR="006B6CC7" w:rsidRPr="006B6CC7" w:rsidRDefault="006B6CC7" w:rsidP="006B6CC7">
      <w:pPr>
        <w:widowControl w:val="0"/>
        <w:spacing w:after="0" w:line="312" w:lineRule="auto"/>
        <w:ind w:left="6372"/>
        <w:jc w:val="center"/>
        <w:rPr>
          <w:rFonts w:eastAsia="Times New Roman" w:cstheme="minorHAnsi"/>
          <w:lang w:eastAsia="pl-PL"/>
        </w:rPr>
      </w:pPr>
      <w:r w:rsidRPr="006B6CC7">
        <w:rPr>
          <w:rFonts w:eastAsia="Times New Roman" w:cstheme="minorHAnsi"/>
          <w:lang w:eastAsia="pl-PL"/>
        </w:rPr>
        <w:lastRenderedPageBreak/>
        <w:t>Załącznik nr 6</w:t>
      </w:r>
    </w:p>
    <w:p w14:paraId="369B8DB2" w14:textId="4E7E63E9" w:rsidR="00112500" w:rsidRPr="00F94E3E" w:rsidRDefault="00F94E3E" w:rsidP="00F94E3E">
      <w:pPr>
        <w:widowControl w:val="0"/>
        <w:spacing w:after="0" w:line="312" w:lineRule="auto"/>
        <w:jc w:val="center"/>
        <w:rPr>
          <w:rFonts w:eastAsia="Times New Roman" w:cstheme="minorHAnsi"/>
          <w:b/>
          <w:bCs/>
          <w:lang w:eastAsia="pl-PL"/>
        </w:rPr>
      </w:pPr>
      <w:r w:rsidRPr="00F94E3E">
        <w:rPr>
          <w:rFonts w:eastAsia="Times New Roman" w:cstheme="minorHAnsi"/>
          <w:b/>
          <w:bCs/>
          <w:lang w:eastAsia="pl-PL"/>
        </w:rPr>
        <w:t>OPIS PRZEDMIOTU ZAMÓWIENIA</w:t>
      </w:r>
    </w:p>
    <w:p w14:paraId="2675D6C0" w14:textId="0F04522E" w:rsidR="00E71644" w:rsidRDefault="00112500" w:rsidP="00E71644">
      <w:pPr>
        <w:pStyle w:val="Nagwek1"/>
        <w:tabs>
          <w:tab w:val="left" w:pos="8955"/>
        </w:tabs>
        <w:spacing w:after="160" w:line="252" w:lineRule="auto"/>
        <w:ind w:left="1559" w:hanging="1559"/>
        <w:rPr>
          <w:rFonts w:asciiTheme="minorHAnsi" w:eastAsia="Times New Roman" w:hAnsiTheme="minorHAnsi" w:cstheme="minorHAnsi"/>
          <w:b/>
          <w:bCs/>
          <w:sz w:val="24"/>
          <w:szCs w:val="24"/>
          <w:lang w:eastAsia="pl-PL"/>
        </w:rPr>
      </w:pPr>
      <w:r>
        <w:rPr>
          <w:rFonts w:asciiTheme="minorHAnsi" w:eastAsia="Times New Roman" w:hAnsiTheme="minorHAnsi" w:cstheme="minorHAnsi"/>
          <w:b/>
          <w:bCs/>
          <w:sz w:val="24"/>
          <w:szCs w:val="24"/>
          <w:lang w:eastAsia="pl-PL"/>
        </w:rPr>
        <w:t>Przedmiot zamówienia:</w:t>
      </w:r>
    </w:p>
    <w:p w14:paraId="1B00D721" w14:textId="37289997" w:rsidR="008B2194" w:rsidRDefault="008B2194" w:rsidP="008B2194">
      <w:pPr>
        <w:rPr>
          <w:b/>
          <w:bCs/>
          <w:color w:val="44546A" w:themeColor="text2"/>
          <w:u w:val="single"/>
          <w:lang w:eastAsia="pl-PL"/>
        </w:rPr>
      </w:pPr>
      <w:r w:rsidRPr="008B2194">
        <w:rPr>
          <w:b/>
          <w:bCs/>
          <w:color w:val="44546A" w:themeColor="text2"/>
          <w:u w:val="single"/>
          <w:lang w:eastAsia="pl-PL"/>
        </w:rPr>
        <w:t>Biurko z regulowaną wysokością – 1</w:t>
      </w:r>
      <w:r w:rsidR="004C0AAD">
        <w:rPr>
          <w:b/>
          <w:bCs/>
          <w:color w:val="44546A" w:themeColor="text2"/>
          <w:u w:val="single"/>
          <w:lang w:eastAsia="pl-PL"/>
        </w:rPr>
        <w:t>0</w:t>
      </w:r>
      <w:r w:rsidRPr="008B2194">
        <w:rPr>
          <w:b/>
          <w:bCs/>
          <w:color w:val="44546A" w:themeColor="text2"/>
          <w:u w:val="single"/>
          <w:lang w:eastAsia="pl-PL"/>
        </w:rPr>
        <w:t xml:space="preserve"> sztuk. </w:t>
      </w:r>
    </w:p>
    <w:p w14:paraId="4E257778" w14:textId="4CC91A14" w:rsidR="008B2194" w:rsidRPr="008B2194" w:rsidRDefault="008B2194" w:rsidP="006D0A21">
      <w:pPr>
        <w:spacing w:line="276" w:lineRule="auto"/>
        <w:jc w:val="both"/>
        <w:rPr>
          <w:lang w:eastAsia="pl-PL"/>
        </w:rPr>
      </w:pPr>
      <w:r w:rsidRPr="008B2194">
        <w:rPr>
          <w:lang w:eastAsia="pl-PL"/>
        </w:rPr>
        <w:t>Opis produktu:</w:t>
      </w:r>
    </w:p>
    <w:p w14:paraId="2145A98F" w14:textId="4F91A204" w:rsidR="00675C2E" w:rsidRDefault="00675C2E" w:rsidP="006D0A21">
      <w:pPr>
        <w:pStyle w:val="Akapitzlist"/>
        <w:numPr>
          <w:ilvl w:val="0"/>
          <w:numId w:val="52"/>
        </w:numPr>
        <w:spacing w:line="276" w:lineRule="auto"/>
        <w:jc w:val="both"/>
        <w:rPr>
          <w:lang w:eastAsia="pl-PL"/>
        </w:rPr>
      </w:pPr>
      <w:r>
        <w:rPr>
          <w:lang w:eastAsia="pl-PL"/>
        </w:rPr>
        <w:t xml:space="preserve">Biurka przeznaczone są do użytku do wybranych </w:t>
      </w:r>
      <w:proofErr w:type="spellStart"/>
      <w:r>
        <w:rPr>
          <w:lang w:eastAsia="pl-PL"/>
        </w:rPr>
        <w:t>sal</w:t>
      </w:r>
      <w:proofErr w:type="spellEnd"/>
      <w:r>
        <w:rPr>
          <w:lang w:eastAsia="pl-PL"/>
        </w:rPr>
        <w:t xml:space="preserve"> dydaktycznych </w:t>
      </w:r>
      <w:r w:rsidR="00845A07">
        <w:rPr>
          <w:lang w:eastAsia="pl-PL"/>
        </w:rPr>
        <w:t xml:space="preserve">Uniwersytetu Ekonomicznego we Wrocławiu (kampus główny) dla osób z niepełnosprawnościami. </w:t>
      </w:r>
    </w:p>
    <w:p w14:paraId="35C9827E" w14:textId="6488FBCC" w:rsidR="00112500" w:rsidRDefault="00845A07" w:rsidP="006D0A21">
      <w:pPr>
        <w:pStyle w:val="Akapitzlist"/>
        <w:numPr>
          <w:ilvl w:val="0"/>
          <w:numId w:val="52"/>
        </w:numPr>
        <w:spacing w:line="276" w:lineRule="auto"/>
        <w:jc w:val="both"/>
        <w:rPr>
          <w:lang w:eastAsia="pl-PL"/>
        </w:rPr>
      </w:pPr>
      <w:r>
        <w:rPr>
          <w:lang w:eastAsia="pl-PL"/>
        </w:rPr>
        <w:t>Wymiar jednego biurka</w:t>
      </w:r>
      <w:r w:rsidR="008B2194">
        <w:rPr>
          <w:lang w:eastAsia="pl-PL"/>
        </w:rPr>
        <w:t>: 120</w:t>
      </w:r>
      <w:r>
        <w:rPr>
          <w:lang w:eastAsia="pl-PL"/>
        </w:rPr>
        <w:t xml:space="preserve"> cm </w:t>
      </w:r>
      <w:r w:rsidR="008B2194">
        <w:rPr>
          <w:lang w:eastAsia="pl-PL"/>
        </w:rPr>
        <w:t>x 60</w:t>
      </w:r>
      <w:r>
        <w:rPr>
          <w:lang w:eastAsia="pl-PL"/>
        </w:rPr>
        <w:t xml:space="preserve"> cm</w:t>
      </w:r>
    </w:p>
    <w:p w14:paraId="440B4943" w14:textId="6787CDF7" w:rsidR="008B2194" w:rsidRDefault="008B2194" w:rsidP="006D0A21">
      <w:pPr>
        <w:pStyle w:val="Akapitzlist"/>
        <w:numPr>
          <w:ilvl w:val="0"/>
          <w:numId w:val="52"/>
        </w:numPr>
        <w:spacing w:line="276" w:lineRule="auto"/>
        <w:jc w:val="both"/>
        <w:rPr>
          <w:lang w:eastAsia="pl-PL"/>
        </w:rPr>
      </w:pPr>
      <w:r>
        <w:rPr>
          <w:lang w:eastAsia="pl-PL"/>
        </w:rPr>
        <w:t xml:space="preserve">Elektryczna regulacja wysokości </w:t>
      </w:r>
      <w:r w:rsidR="00675C2E">
        <w:rPr>
          <w:lang w:eastAsia="pl-PL"/>
        </w:rPr>
        <w:t xml:space="preserve">w zakresie </w:t>
      </w:r>
      <w:r w:rsidR="00845A07">
        <w:rPr>
          <w:lang w:eastAsia="pl-PL"/>
        </w:rPr>
        <w:t xml:space="preserve">60 cm - 80 cm, podnoszenie z min. prędkością 25 mm/s. </w:t>
      </w:r>
      <w:r w:rsidR="004C0AAD">
        <w:rPr>
          <w:lang w:eastAsia="pl-PL"/>
        </w:rPr>
        <w:t xml:space="preserve">Napięcie 100-240 V. </w:t>
      </w:r>
    </w:p>
    <w:p w14:paraId="75959760" w14:textId="46DA163E" w:rsidR="00845A07" w:rsidRDefault="00845A07" w:rsidP="006D0A21">
      <w:pPr>
        <w:pStyle w:val="Akapitzlist"/>
        <w:numPr>
          <w:ilvl w:val="0"/>
          <w:numId w:val="52"/>
        </w:numPr>
        <w:spacing w:line="276" w:lineRule="auto"/>
        <w:jc w:val="both"/>
        <w:rPr>
          <w:lang w:eastAsia="pl-PL"/>
        </w:rPr>
      </w:pPr>
      <w:r>
        <w:rPr>
          <w:lang w:eastAsia="pl-PL"/>
        </w:rPr>
        <w:t>Nośność: min. 50 kg.</w:t>
      </w:r>
    </w:p>
    <w:p w14:paraId="409950D4" w14:textId="3522E0DC" w:rsidR="00675C2E" w:rsidRPr="00845A07" w:rsidRDefault="00675C2E" w:rsidP="006D0A21">
      <w:pPr>
        <w:pStyle w:val="Akapitzlist"/>
        <w:numPr>
          <w:ilvl w:val="0"/>
          <w:numId w:val="52"/>
        </w:numPr>
        <w:spacing w:line="276" w:lineRule="auto"/>
        <w:jc w:val="both"/>
        <w:rPr>
          <w:szCs w:val="24"/>
          <w:lang w:eastAsia="pl-PL"/>
        </w:rPr>
      </w:pPr>
      <w:r>
        <w:rPr>
          <w:rFonts w:ascii="Calibri" w:hAnsi="Calibri" w:cs="Calibri"/>
          <w:szCs w:val="24"/>
        </w:rPr>
        <w:t>G</w:t>
      </w:r>
      <w:r w:rsidRPr="00675C2E">
        <w:rPr>
          <w:rFonts w:ascii="Calibri" w:hAnsi="Calibri" w:cs="Calibri"/>
          <w:szCs w:val="24"/>
        </w:rPr>
        <w:t xml:space="preserve">łębokość samego blatu </w:t>
      </w:r>
      <w:r>
        <w:rPr>
          <w:rFonts w:ascii="Calibri" w:hAnsi="Calibri" w:cs="Calibri"/>
          <w:szCs w:val="24"/>
        </w:rPr>
        <w:t>(</w:t>
      </w:r>
      <w:r w:rsidRPr="00675C2E">
        <w:rPr>
          <w:rFonts w:ascii="Calibri" w:hAnsi="Calibri" w:cs="Calibri"/>
          <w:szCs w:val="24"/>
        </w:rPr>
        <w:t xml:space="preserve">czyli szerokość blatu w rzucie z góry) nie powinna być mniejsza niż 60 cm. Przestrzeń ta nie może być ograniczona rozpórkami, </w:t>
      </w:r>
      <w:r>
        <w:rPr>
          <w:rFonts w:ascii="Calibri" w:hAnsi="Calibri" w:cs="Calibri"/>
          <w:szCs w:val="24"/>
        </w:rPr>
        <w:t xml:space="preserve">łącznikami, </w:t>
      </w:r>
      <w:r w:rsidRPr="00675C2E">
        <w:rPr>
          <w:rFonts w:ascii="Calibri" w:hAnsi="Calibri" w:cs="Calibri"/>
          <w:szCs w:val="24"/>
        </w:rPr>
        <w:t>wzmocnieniami itp.</w:t>
      </w:r>
      <w:r>
        <w:rPr>
          <w:rFonts w:ascii="Calibri" w:hAnsi="Calibri" w:cs="Calibri"/>
          <w:szCs w:val="24"/>
        </w:rPr>
        <w:t xml:space="preserve"> tak by uniemożli</w:t>
      </w:r>
      <w:r w:rsidR="00845A07">
        <w:rPr>
          <w:rFonts w:ascii="Calibri" w:hAnsi="Calibri" w:cs="Calibri"/>
          <w:szCs w:val="24"/>
        </w:rPr>
        <w:t xml:space="preserve">wiała lub ograniczała wjazd wózkiem inwalidzkim lub w inny sposób ograniczała przestrzeń przeznaczoną na nogi. </w:t>
      </w:r>
    </w:p>
    <w:p w14:paraId="5F65F9B5" w14:textId="00AE8664" w:rsidR="00845A07" w:rsidRPr="004C0AAD" w:rsidRDefault="00845A07" w:rsidP="006D0A21">
      <w:pPr>
        <w:pStyle w:val="Akapitzlist"/>
        <w:numPr>
          <w:ilvl w:val="0"/>
          <w:numId w:val="52"/>
        </w:numPr>
        <w:spacing w:line="276" w:lineRule="auto"/>
        <w:jc w:val="both"/>
        <w:rPr>
          <w:szCs w:val="24"/>
          <w:lang w:eastAsia="pl-PL"/>
        </w:rPr>
      </w:pPr>
      <w:r>
        <w:rPr>
          <w:rFonts w:ascii="Calibri" w:hAnsi="Calibri" w:cs="Calibri"/>
          <w:szCs w:val="24"/>
        </w:rPr>
        <w:t>Szerokość między nogami stołu: min. 90 cm.</w:t>
      </w:r>
    </w:p>
    <w:p w14:paraId="7BDF2D5C" w14:textId="27440363" w:rsidR="004C0AAD" w:rsidRPr="004C0AAD" w:rsidRDefault="00845A07" w:rsidP="006D0A21">
      <w:pPr>
        <w:pStyle w:val="Akapitzlist"/>
        <w:numPr>
          <w:ilvl w:val="0"/>
          <w:numId w:val="52"/>
        </w:numPr>
        <w:spacing w:line="276" w:lineRule="auto"/>
        <w:jc w:val="both"/>
        <w:rPr>
          <w:szCs w:val="24"/>
          <w:lang w:eastAsia="pl-PL"/>
        </w:rPr>
      </w:pPr>
      <w:r w:rsidRPr="004C0AAD">
        <w:rPr>
          <w:rFonts w:ascii="Calibri" w:hAnsi="Calibri" w:cs="Calibri"/>
          <w:szCs w:val="24"/>
        </w:rPr>
        <w:t>Blat biurka</w:t>
      </w:r>
      <w:r w:rsidR="004C0AAD" w:rsidRPr="004C0AAD">
        <w:rPr>
          <w:rFonts w:ascii="Calibri" w:hAnsi="Calibri" w:cs="Calibri"/>
          <w:szCs w:val="24"/>
        </w:rPr>
        <w:t xml:space="preserve">: </w:t>
      </w:r>
      <w:r w:rsidR="004C0AAD">
        <w:t xml:space="preserve">wykonany z płyty wiórowej, trójwarstwowej, </w:t>
      </w:r>
      <w:proofErr w:type="spellStart"/>
      <w:r w:rsidR="004C0AAD">
        <w:t>melaminowanej</w:t>
      </w:r>
      <w:proofErr w:type="spellEnd"/>
      <w:r w:rsidR="004C0AAD">
        <w:t xml:space="preserve"> o grubości minimum 28 mm. Obrzeża płyty blatu mają być okleinowane doklejką ABS o grubości 2 mm. Wszystkie wąskie płaszczyzny blatu stołu mają być zabezpieczone doklejką przyklejoną za pomocą kleju poliuretanowego PUR, który ma trwale zabezpieczyć krawędzie przed szkodliwym działaniem wilgoci oraz wysokiej temperatury. Wskazana technologia ma gwarantować wodoodporne połączenie obrzeża z płytą. Płyta wiórowa ma spełniać wymagania normy PN EN 14322, emisja formaldehydu ma odpowiadać </w:t>
      </w:r>
      <w:r w:rsidR="004C0AAD" w:rsidRPr="00B65AE0">
        <w:rPr>
          <w:u w:val="single"/>
        </w:rPr>
        <w:t>klasie E1</w:t>
      </w:r>
      <w:r w:rsidR="00B65AE0">
        <w:t xml:space="preserve"> (warunek koniecz</w:t>
      </w:r>
      <w:r w:rsidR="005C2E05">
        <w:t>n</w:t>
      </w:r>
      <w:r w:rsidR="00B65AE0">
        <w:t>y)</w:t>
      </w:r>
      <w:r w:rsidR="004C0AAD">
        <w:t xml:space="preserve">. W blacie stołu mają być osadzone cztery mufy metalowe z gwintem do przykręcenia stelażu biurka (nie dopuszcza się rozwiązań w postaci muf wykonanych z tworzywa sztucznego lub wkrętów – aby zastosowany system umożliwiał wielokrotny montaż i demontaż blatu). </w:t>
      </w:r>
    </w:p>
    <w:p w14:paraId="3BDC1F41" w14:textId="2CC3E5C6" w:rsidR="004C0AAD" w:rsidRPr="004C0AAD" w:rsidRDefault="004C0AAD" w:rsidP="006D0A21">
      <w:pPr>
        <w:pStyle w:val="Akapitzlist"/>
        <w:numPr>
          <w:ilvl w:val="0"/>
          <w:numId w:val="52"/>
        </w:numPr>
        <w:spacing w:line="276" w:lineRule="auto"/>
        <w:jc w:val="both"/>
        <w:rPr>
          <w:szCs w:val="24"/>
          <w:lang w:eastAsia="pl-PL"/>
        </w:rPr>
      </w:pPr>
      <w:r>
        <w:t>W każdym blacie min. dwa wycięcie kablowe umożliwiające zamontowanie uchwytu na dwa monitory.</w:t>
      </w:r>
    </w:p>
    <w:p w14:paraId="4D14E3F4" w14:textId="2662E945" w:rsidR="004C0AAD" w:rsidRDefault="004C0AAD" w:rsidP="006D0A21">
      <w:pPr>
        <w:pStyle w:val="Akapitzlist"/>
        <w:numPr>
          <w:ilvl w:val="0"/>
          <w:numId w:val="52"/>
        </w:numPr>
        <w:spacing w:after="0" w:line="276" w:lineRule="auto"/>
        <w:jc w:val="both"/>
      </w:pPr>
      <w:r>
        <w:t>Nogi biurka mają być kwadratowe, wykonane z profili stalowych 40 x 40 mm (tolerancja+/- 10 mm)</w:t>
      </w:r>
      <w:r w:rsidR="007F3DE5">
        <w:t xml:space="preserve"> lub nogi prostokątne, wykonane z profili stalowych 50 x 80 mm (tolerancja+/- 10 mm). </w:t>
      </w:r>
    </w:p>
    <w:p w14:paraId="3579F0FE" w14:textId="77777777" w:rsidR="004C0AAD" w:rsidRDefault="004C0AAD" w:rsidP="006D0A21">
      <w:pPr>
        <w:pStyle w:val="Akapitzlist"/>
        <w:numPr>
          <w:ilvl w:val="0"/>
          <w:numId w:val="52"/>
        </w:numPr>
        <w:spacing w:after="0" w:line="276" w:lineRule="auto"/>
        <w:jc w:val="both"/>
      </w:pPr>
      <w:r>
        <w:t xml:space="preserve">Nogi stołu oraz pozostałe elementy stelaża mają być malowane farbą proszkową, utwardzaną metodą termiczną - co zapewni odporność nóg i stelaża na ścieranie i zarysowania. </w:t>
      </w:r>
    </w:p>
    <w:p w14:paraId="31C87C3F" w14:textId="088613D7" w:rsidR="003621F8" w:rsidRDefault="004C0AAD" w:rsidP="006D0A21">
      <w:pPr>
        <w:pStyle w:val="Akapitzlist"/>
        <w:numPr>
          <w:ilvl w:val="0"/>
          <w:numId w:val="52"/>
        </w:numPr>
        <w:spacing w:after="0" w:line="276" w:lineRule="auto"/>
        <w:jc w:val="both"/>
      </w:pPr>
      <w:r>
        <w:t>Metalowe elementy stelaża powinny być cięte technologią laserową - (kryte spawy)</w:t>
      </w:r>
      <w:r w:rsidR="00C83430">
        <w:t>, tak aby gwarantowały bezpieczeństwo użytkowania, w szczególności osobom z niepełnosprawnościami</w:t>
      </w:r>
    </w:p>
    <w:p w14:paraId="2673E6E7" w14:textId="77777777" w:rsidR="003621F8" w:rsidRDefault="003621F8" w:rsidP="006D0A21">
      <w:pPr>
        <w:pStyle w:val="Akapitzlist"/>
        <w:numPr>
          <w:ilvl w:val="0"/>
          <w:numId w:val="52"/>
        </w:numPr>
        <w:spacing w:after="120" w:line="276" w:lineRule="auto"/>
        <w:jc w:val="both"/>
      </w:pPr>
      <w:r>
        <w:lastRenderedPageBreak/>
        <w:t>Kolorystyka:</w:t>
      </w:r>
    </w:p>
    <w:p w14:paraId="476DF68C" w14:textId="76BB910B" w:rsidR="003621F8" w:rsidRDefault="003621F8" w:rsidP="006D0A21">
      <w:pPr>
        <w:pStyle w:val="Akapitzlist"/>
        <w:numPr>
          <w:ilvl w:val="0"/>
          <w:numId w:val="15"/>
        </w:numPr>
        <w:spacing w:after="120" w:line="276" w:lineRule="auto"/>
        <w:ind w:left="567" w:hanging="425"/>
        <w:jc w:val="both"/>
      </w:pPr>
      <w:r>
        <w:t xml:space="preserve">blat: dąb </w:t>
      </w:r>
      <w:proofErr w:type="spellStart"/>
      <w:r>
        <w:t>sonoma</w:t>
      </w:r>
      <w:proofErr w:type="spellEnd"/>
      <w:r>
        <w:t xml:space="preserve"> </w:t>
      </w:r>
      <w:r w:rsidR="00B65AE0">
        <w:t xml:space="preserve">(paleta RAL: </w:t>
      </w:r>
      <w:r>
        <w:t>613L</w:t>
      </w:r>
      <w:r w:rsidR="00B65AE0">
        <w:t>)</w:t>
      </w:r>
    </w:p>
    <w:p w14:paraId="218FD891" w14:textId="18ECE28C" w:rsidR="003621F8" w:rsidRDefault="003621F8" w:rsidP="006D0A21">
      <w:pPr>
        <w:pStyle w:val="Akapitzlist"/>
        <w:numPr>
          <w:ilvl w:val="0"/>
          <w:numId w:val="15"/>
        </w:numPr>
        <w:spacing w:after="120" w:line="276" w:lineRule="auto"/>
        <w:ind w:left="567" w:hanging="425"/>
        <w:jc w:val="both"/>
      </w:pPr>
      <w:r>
        <w:t>stelaż: czarny, półmat</w:t>
      </w:r>
      <w:r w:rsidR="00B65AE0">
        <w:t xml:space="preserve"> (paleta RAL: 9005)</w:t>
      </w:r>
    </w:p>
    <w:p w14:paraId="5820344B" w14:textId="77777777" w:rsidR="00845A07" w:rsidRDefault="00845A07" w:rsidP="006D0A21">
      <w:pPr>
        <w:spacing w:line="276" w:lineRule="auto"/>
        <w:jc w:val="both"/>
        <w:rPr>
          <w:lang w:eastAsia="pl-PL"/>
        </w:rPr>
      </w:pPr>
    </w:p>
    <w:p w14:paraId="5123E2D9" w14:textId="5884D697" w:rsidR="00004E9F" w:rsidRDefault="003863F5" w:rsidP="006D0A21">
      <w:pPr>
        <w:pStyle w:val="Akapitzlist"/>
        <w:numPr>
          <w:ilvl w:val="0"/>
          <w:numId w:val="52"/>
        </w:numPr>
        <w:spacing w:line="276" w:lineRule="auto"/>
        <w:jc w:val="both"/>
        <w:rPr>
          <w:lang w:eastAsia="pl-PL"/>
        </w:rPr>
      </w:pPr>
      <w:r>
        <w:t xml:space="preserve"> Wszystkie podane wymiary gabarytowe opisywanych elem</w:t>
      </w:r>
      <w:r w:rsidR="00004E9F">
        <w:t>en</w:t>
      </w:r>
      <w:r>
        <w:t>tów i mebli</w:t>
      </w:r>
      <w:r w:rsidR="00004E9F">
        <w:t xml:space="preserve"> mogą posiadać 2% tolerancji, jeśli opis nie stanowi inaczej. </w:t>
      </w:r>
    </w:p>
    <w:p w14:paraId="01178A46" w14:textId="1DFEC04C" w:rsidR="00E71644" w:rsidRDefault="00845A07" w:rsidP="006D0A21">
      <w:pPr>
        <w:pStyle w:val="Akapitzlist"/>
        <w:numPr>
          <w:ilvl w:val="0"/>
          <w:numId w:val="52"/>
        </w:numPr>
        <w:spacing w:line="276" w:lineRule="auto"/>
        <w:jc w:val="both"/>
        <w:rPr>
          <w:lang w:eastAsia="pl-PL"/>
        </w:rPr>
      </w:pPr>
      <w:r>
        <w:t>P</w:t>
      </w:r>
      <w:r w:rsidR="00E71644">
        <w:t>rzykładowe rozwiązanie:</w:t>
      </w:r>
    </w:p>
    <w:p w14:paraId="1DEEAD98" w14:textId="079C7D76" w:rsidR="00E71644" w:rsidRDefault="00E71644" w:rsidP="006D0A21">
      <w:pPr>
        <w:spacing w:line="276" w:lineRule="auto"/>
        <w:jc w:val="both"/>
      </w:pPr>
      <w:r>
        <w:t xml:space="preserve"> </w:t>
      </w:r>
      <w:r w:rsidR="003621F8">
        <w:rPr>
          <w:noProof/>
        </w:rPr>
        <w:drawing>
          <wp:inline distT="0" distB="0" distL="0" distR="0" wp14:anchorId="38A57544" wp14:editId="4CA0F91F">
            <wp:extent cx="1483866" cy="868680"/>
            <wp:effectExtent l="0" t="0" r="2540" b="7620"/>
            <wp:docPr id="209541304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0265" cy="872426"/>
                    </a:xfrm>
                    <a:prstGeom prst="rect">
                      <a:avLst/>
                    </a:prstGeom>
                    <a:noFill/>
                    <a:ln>
                      <a:noFill/>
                    </a:ln>
                  </pic:spPr>
                </pic:pic>
              </a:graphicData>
            </a:graphic>
          </wp:inline>
        </w:drawing>
      </w:r>
    </w:p>
    <w:p w14:paraId="38A51125" w14:textId="77777777" w:rsidR="003621F8" w:rsidRDefault="003621F8" w:rsidP="006D0A21">
      <w:pPr>
        <w:pStyle w:val="Akapitzlist"/>
        <w:spacing w:after="120" w:line="276" w:lineRule="auto"/>
        <w:ind w:left="567"/>
        <w:jc w:val="both"/>
      </w:pPr>
    </w:p>
    <w:p w14:paraId="53E71840" w14:textId="0EDE2B48" w:rsidR="00E71644" w:rsidRPr="00E21EF9" w:rsidRDefault="00E71644" w:rsidP="006D0A21">
      <w:pPr>
        <w:pStyle w:val="Akapitzlist"/>
        <w:numPr>
          <w:ilvl w:val="0"/>
          <w:numId w:val="52"/>
        </w:numPr>
        <w:spacing w:after="120" w:line="276" w:lineRule="auto"/>
        <w:jc w:val="both"/>
        <w:rPr>
          <w:b/>
          <w:bCs/>
        </w:rPr>
      </w:pPr>
      <w:r w:rsidRPr="00E21EF9">
        <w:rPr>
          <w:b/>
          <w:bCs/>
        </w:rPr>
        <w:t>Wraz z dostawą na wniosek Zamawiającego</w:t>
      </w:r>
      <w:r w:rsidR="00E21EF9">
        <w:rPr>
          <w:b/>
          <w:bCs/>
        </w:rPr>
        <w:t xml:space="preserve"> przesłany drogą elektroniczną, do osoby wyznaczonej w umowie do kontaktu</w:t>
      </w:r>
      <w:r w:rsidRPr="00E21EF9">
        <w:rPr>
          <w:b/>
          <w:bCs/>
        </w:rPr>
        <w:t xml:space="preserve"> należy przedstawić:</w:t>
      </w:r>
    </w:p>
    <w:p w14:paraId="639A3DC4" w14:textId="77777777" w:rsidR="00E71644" w:rsidRDefault="00E71644" w:rsidP="006D0A21">
      <w:pPr>
        <w:pStyle w:val="Akapitzlist"/>
        <w:numPr>
          <w:ilvl w:val="0"/>
          <w:numId w:val="16"/>
        </w:numPr>
        <w:spacing w:after="120" w:line="276" w:lineRule="auto"/>
        <w:ind w:left="567" w:hanging="425"/>
        <w:jc w:val="both"/>
      </w:pPr>
      <w:r>
        <w:t xml:space="preserve">pozytywne wyniki badań lub certyfikat zgodności z normami dotyczącymi jakości mebli biurowych PN-EN 527-2+ A1:2019, </w:t>
      </w:r>
    </w:p>
    <w:p w14:paraId="2F408556" w14:textId="77777777" w:rsidR="00E71644" w:rsidRDefault="00E71644" w:rsidP="006D0A21">
      <w:pPr>
        <w:pStyle w:val="Akapitzlist"/>
        <w:numPr>
          <w:ilvl w:val="0"/>
          <w:numId w:val="16"/>
        </w:numPr>
        <w:spacing w:after="120" w:line="276" w:lineRule="auto"/>
        <w:ind w:left="567" w:hanging="425"/>
        <w:jc w:val="both"/>
      </w:pPr>
      <w:r>
        <w:t>dokumenty potwierdzające użycie technologii PUR: badanie/sprawozdanie z badań określające odporność na odrywanie doklejki ABS wg norm PN – EN 319:1999 oraz PN – EN 311:2004 oraz badanie potwierdzające odporność doklejki na działanie wilgoci, pary oraz wysokiej temperatury,</w:t>
      </w:r>
    </w:p>
    <w:p w14:paraId="5947F4C1" w14:textId="77777777" w:rsidR="00E71644" w:rsidRDefault="00E71644" w:rsidP="006D0A21">
      <w:pPr>
        <w:pStyle w:val="Akapitzlist"/>
        <w:numPr>
          <w:ilvl w:val="0"/>
          <w:numId w:val="16"/>
        </w:numPr>
        <w:spacing w:after="120" w:line="276" w:lineRule="auto"/>
        <w:ind w:left="567" w:hanging="425"/>
        <w:jc w:val="both"/>
      </w:pPr>
      <w:r>
        <w:t>atest higieniczny, wystawiony przez upoważnioną do tego jednostkę w zakresie komponentów wchodzących w zakres systemu biurek, stołów, szaf oraz kontenerów,</w:t>
      </w:r>
    </w:p>
    <w:p w14:paraId="38857903" w14:textId="7D7D6880" w:rsidR="00E71644" w:rsidRDefault="00E71644" w:rsidP="006D0A21">
      <w:pPr>
        <w:pStyle w:val="Akapitzlist"/>
        <w:numPr>
          <w:ilvl w:val="0"/>
          <w:numId w:val="16"/>
        </w:numPr>
        <w:spacing w:after="120" w:line="276" w:lineRule="auto"/>
        <w:ind w:left="567" w:hanging="425"/>
        <w:jc w:val="both"/>
      </w:pPr>
      <w:r>
        <w:t>certyfikat systemu zarządzania jakością: ISO 9001 oraz certyfikat systemu zarządzania środowiskiem zgodny z normą ISO14001 w zakresie produkcji</w:t>
      </w:r>
      <w:r w:rsidR="006D0A21">
        <w:t xml:space="preserve">. </w:t>
      </w:r>
    </w:p>
    <w:p w14:paraId="7A9389DA" w14:textId="03C20EC9" w:rsidR="003621F8" w:rsidRDefault="003621F8" w:rsidP="006D0A21">
      <w:pPr>
        <w:pStyle w:val="Nagwek1"/>
        <w:tabs>
          <w:tab w:val="left" w:pos="8955"/>
        </w:tabs>
        <w:spacing w:after="160" w:line="276" w:lineRule="auto"/>
        <w:ind w:left="1559" w:hanging="1559"/>
        <w:jc w:val="both"/>
        <w:rPr>
          <w:rFonts w:asciiTheme="minorHAnsi" w:eastAsia="Times New Roman" w:hAnsiTheme="minorHAnsi" w:cstheme="minorHAnsi"/>
          <w:b/>
          <w:bCs/>
          <w:sz w:val="24"/>
          <w:szCs w:val="24"/>
          <w:lang w:eastAsia="pl-PL"/>
        </w:rPr>
      </w:pPr>
      <w:r>
        <w:rPr>
          <w:rFonts w:asciiTheme="minorHAnsi" w:eastAsia="Times New Roman" w:hAnsiTheme="minorHAnsi" w:cstheme="minorHAnsi"/>
          <w:b/>
          <w:bCs/>
          <w:sz w:val="24"/>
          <w:szCs w:val="24"/>
          <w:lang w:eastAsia="pl-PL"/>
        </w:rPr>
        <w:t>Dodatkowe informacje:</w:t>
      </w:r>
    </w:p>
    <w:p w14:paraId="002B0F31" w14:textId="3B69713C" w:rsidR="003621F8" w:rsidRDefault="006B585F" w:rsidP="006D0A21">
      <w:pPr>
        <w:spacing w:line="276" w:lineRule="auto"/>
        <w:jc w:val="both"/>
        <w:rPr>
          <w:lang w:eastAsia="pl-PL"/>
        </w:rPr>
      </w:pPr>
      <w:r>
        <w:rPr>
          <w:lang w:eastAsia="pl-PL"/>
        </w:rPr>
        <w:t>Całkowity koszt zakupu obejmuje:</w:t>
      </w:r>
    </w:p>
    <w:p w14:paraId="7D0CD4B2" w14:textId="593D07FE" w:rsidR="006B585F" w:rsidRDefault="006B585F" w:rsidP="006D0A21">
      <w:pPr>
        <w:spacing w:line="276" w:lineRule="auto"/>
        <w:jc w:val="both"/>
        <w:rPr>
          <w:lang w:eastAsia="pl-PL"/>
        </w:rPr>
      </w:pPr>
      <w:r>
        <w:rPr>
          <w:lang w:eastAsia="pl-PL"/>
        </w:rPr>
        <w:t>- koszt 10 sztuk biurek z regulowaną wysokością, zgodną opisem</w:t>
      </w:r>
      <w:r w:rsidR="00B65AE0">
        <w:rPr>
          <w:lang w:eastAsia="pl-PL"/>
        </w:rPr>
        <w:t>;</w:t>
      </w:r>
    </w:p>
    <w:p w14:paraId="5A44D58C" w14:textId="6992A0F9" w:rsidR="006D0A21" w:rsidRDefault="00B65AE0" w:rsidP="006D0A21">
      <w:pPr>
        <w:widowControl w:val="0"/>
        <w:spacing w:line="276" w:lineRule="auto"/>
        <w:jc w:val="both"/>
        <w:rPr>
          <w:rFonts w:eastAsia="Times New Roman" w:cstheme="minorHAnsi"/>
          <w:bCs/>
        </w:rPr>
      </w:pPr>
      <w:r>
        <w:rPr>
          <w:lang w:eastAsia="pl-PL"/>
        </w:rPr>
        <w:t>- koszt dostawy biurek</w:t>
      </w:r>
      <w:r w:rsidR="00C168F3">
        <w:rPr>
          <w:lang w:eastAsia="pl-PL"/>
        </w:rPr>
        <w:t xml:space="preserve"> wraz ze wniesieniem</w:t>
      </w:r>
      <w:r w:rsidR="006D0A21">
        <w:rPr>
          <w:rFonts w:eastAsia="Times New Roman" w:cstheme="minorHAnsi"/>
          <w:bCs/>
        </w:rPr>
        <w:t>, rozpakowaniem, montażem oraz zabraniem do utylizacji odpadów (m.in. kartony, styropian, folie itp.)  w miejsce wskazane przez Zamawiającego (teren głównego kampusu UEW</w:t>
      </w:r>
      <w:r w:rsidR="006D0A21">
        <w:t>, ale do różnych budynków pomiędzy Ślężną, Kamienną, Komandorską i Wielką</w:t>
      </w:r>
      <w:r w:rsidR="006D0A21">
        <w:rPr>
          <w:rFonts w:eastAsia="Times New Roman" w:cstheme="minorHAnsi"/>
          <w:bCs/>
        </w:rPr>
        <w:t>).</w:t>
      </w:r>
    </w:p>
    <w:p w14:paraId="548D6A44" w14:textId="5B6E3512" w:rsidR="00B65AE0" w:rsidRDefault="00B65AE0" w:rsidP="006D0A21">
      <w:pPr>
        <w:spacing w:line="276" w:lineRule="auto"/>
        <w:jc w:val="both"/>
        <w:rPr>
          <w:lang w:eastAsia="pl-PL"/>
        </w:rPr>
      </w:pPr>
    </w:p>
    <w:p w14:paraId="5BB164F0" w14:textId="5506A277" w:rsidR="003621F8" w:rsidRDefault="003621F8" w:rsidP="003621F8">
      <w:pPr>
        <w:spacing w:after="120" w:line="276" w:lineRule="auto"/>
        <w:jc w:val="both"/>
      </w:pPr>
    </w:p>
    <w:p w14:paraId="09091EEB" w14:textId="77777777" w:rsidR="00E71644" w:rsidRDefault="00E71644" w:rsidP="00E71644">
      <w:pPr>
        <w:widowControl w:val="0"/>
        <w:spacing w:after="0" w:line="312" w:lineRule="auto"/>
        <w:jc w:val="both"/>
        <w:rPr>
          <w:rFonts w:ascii="Calibri" w:eastAsia="Times New Roman" w:hAnsi="Calibri" w:cs="Calibri"/>
          <w:lang w:eastAsia="pl-PL"/>
        </w:rPr>
      </w:pPr>
    </w:p>
    <w:p w14:paraId="333589F8" w14:textId="006BB8EC" w:rsidR="00932212" w:rsidRPr="006370CC" w:rsidRDefault="00932212" w:rsidP="006370CC"/>
    <w:sectPr w:rsidR="00932212" w:rsidRPr="006370CC" w:rsidSect="002C69DE">
      <w:headerReference w:type="default" r:id="rId8"/>
      <w:footerReference w:type="default" r:id="rId9"/>
      <w:pgSz w:w="11906" w:h="16838"/>
      <w:pgMar w:top="1417" w:right="1417" w:bottom="993" w:left="1417" w:header="708" w:footer="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D7274" w14:textId="77777777" w:rsidR="00C01DF1" w:rsidRDefault="00C01DF1" w:rsidP="002C69DE">
      <w:pPr>
        <w:spacing w:after="0" w:line="240" w:lineRule="auto"/>
      </w:pPr>
      <w:r>
        <w:separator/>
      </w:r>
    </w:p>
  </w:endnote>
  <w:endnote w:type="continuationSeparator" w:id="0">
    <w:p w14:paraId="3EB4C78B" w14:textId="77777777" w:rsidR="00C01DF1" w:rsidRDefault="00C01DF1" w:rsidP="002C6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1"/>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723"/>
    </w:tblGrid>
    <w:tr w:rsidR="002C69DE" w:rsidRPr="002C69DE" w14:paraId="681C142F" w14:textId="77777777" w:rsidTr="00F443D9">
      <w:tc>
        <w:tcPr>
          <w:tcW w:w="4775" w:type="dxa"/>
          <w:vAlign w:val="bottom"/>
        </w:tcPr>
        <w:p w14:paraId="31BB5D85" w14:textId="77777777" w:rsidR="00EA5C67" w:rsidRPr="00EA5C67" w:rsidRDefault="00EA5C67" w:rsidP="00EA5C67">
          <w:pPr>
            <w:autoSpaceDE w:val="0"/>
            <w:autoSpaceDN w:val="0"/>
            <w:adjustRightInd w:val="0"/>
            <w:jc w:val="center"/>
            <w:rPr>
              <w:rFonts w:cstheme="minorHAnsi"/>
              <w:sz w:val="18"/>
              <w:szCs w:val="18"/>
            </w:rPr>
          </w:pPr>
          <w:r w:rsidRPr="00EA5C67">
            <w:rPr>
              <w:rFonts w:cstheme="minorHAnsi"/>
              <w:sz w:val="18"/>
              <w:szCs w:val="18"/>
            </w:rPr>
            <w:t>Otwarte drzwi - program likwidacji barier dostępności kształcenia na Uniwersytecie Ekonomicznym</w:t>
          </w:r>
        </w:p>
        <w:p w14:paraId="047AB85F" w14:textId="77777777" w:rsidR="00EA5C67" w:rsidRDefault="00EA5C67" w:rsidP="00EA5C67">
          <w:pPr>
            <w:tabs>
              <w:tab w:val="center" w:pos="4536"/>
            </w:tabs>
            <w:jc w:val="center"/>
            <w:rPr>
              <w:rFonts w:cstheme="minorHAnsi"/>
              <w:sz w:val="18"/>
              <w:szCs w:val="18"/>
            </w:rPr>
          </w:pPr>
          <w:r w:rsidRPr="00EA5C67">
            <w:rPr>
              <w:rFonts w:cstheme="minorHAnsi"/>
              <w:sz w:val="18"/>
              <w:szCs w:val="18"/>
            </w:rPr>
            <w:t>we Wrocławiu</w:t>
          </w:r>
        </w:p>
        <w:p w14:paraId="26ACEB8F" w14:textId="4327A5C1" w:rsidR="002C69DE" w:rsidRPr="00EA5C67" w:rsidRDefault="002C69DE" w:rsidP="00EA5C67">
          <w:pPr>
            <w:tabs>
              <w:tab w:val="center" w:pos="4536"/>
            </w:tabs>
            <w:jc w:val="center"/>
            <w:rPr>
              <w:rFonts w:cstheme="minorHAnsi"/>
              <w:b/>
              <w:bCs/>
              <w:sz w:val="18"/>
              <w:szCs w:val="18"/>
            </w:rPr>
          </w:pPr>
          <w:r w:rsidRPr="00EA5C67">
            <w:rPr>
              <w:rFonts w:cstheme="minorHAnsi"/>
              <w:b/>
              <w:bCs/>
              <w:sz w:val="18"/>
              <w:szCs w:val="18"/>
            </w:rPr>
            <w:t>POWR.</w:t>
          </w:r>
          <w:r w:rsidR="00EA5C67" w:rsidRPr="00EA5C67">
            <w:rPr>
              <w:rFonts w:cstheme="minorHAnsi"/>
              <w:b/>
              <w:bCs/>
              <w:sz w:val="18"/>
              <w:szCs w:val="18"/>
            </w:rPr>
            <w:t xml:space="preserve"> 03.05.00-00-A044/19</w:t>
          </w:r>
        </w:p>
      </w:tc>
      <w:tc>
        <w:tcPr>
          <w:tcW w:w="4723" w:type="dxa"/>
          <w:vAlign w:val="center"/>
        </w:tcPr>
        <w:p w14:paraId="52D59E05" w14:textId="77777777" w:rsidR="002C69DE" w:rsidRPr="002C69DE" w:rsidRDefault="002C69DE" w:rsidP="002C69DE">
          <w:pPr>
            <w:tabs>
              <w:tab w:val="center" w:pos="4536"/>
            </w:tabs>
            <w:jc w:val="center"/>
            <w:rPr>
              <w:rFonts w:ascii="Calibri" w:hAnsi="Calibri" w:cs="Calibri"/>
              <w:b/>
              <w:bCs/>
              <w:sz w:val="18"/>
              <w:szCs w:val="18"/>
            </w:rPr>
          </w:pPr>
          <w:r w:rsidRPr="002C69DE">
            <w:rPr>
              <w:rFonts w:ascii="Calibri" w:hAnsi="Calibri" w:cs="Calibri"/>
              <w:b/>
              <w:bCs/>
              <w:noProof/>
              <w:sz w:val="20"/>
              <w:szCs w:val="20"/>
              <w:lang w:eastAsia="pl-PL"/>
            </w:rPr>
            <w:drawing>
              <wp:inline distT="0" distB="0" distL="0" distR="0" wp14:anchorId="183F3E45" wp14:editId="4D44A5D2">
                <wp:extent cx="1933575" cy="433938"/>
                <wp:effectExtent l="0" t="0" r="0" b="4445"/>
                <wp:docPr id="35" name="Obraz 3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braz 30"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893" cy="441864"/>
                        </a:xfrm>
                        <a:prstGeom prst="rect">
                          <a:avLst/>
                        </a:prstGeom>
                        <a:noFill/>
                        <a:ln>
                          <a:noFill/>
                        </a:ln>
                      </pic:spPr>
                    </pic:pic>
                  </a:graphicData>
                </a:graphic>
              </wp:inline>
            </w:drawing>
          </w:r>
        </w:p>
      </w:tc>
    </w:tr>
  </w:tbl>
  <w:p w14:paraId="57C26468" w14:textId="77777777" w:rsidR="002C69DE" w:rsidRDefault="002C69DE" w:rsidP="002C69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C4620" w14:textId="77777777" w:rsidR="00C01DF1" w:rsidRDefault="00C01DF1" w:rsidP="002C69DE">
      <w:pPr>
        <w:spacing w:after="0" w:line="240" w:lineRule="auto"/>
      </w:pPr>
      <w:r>
        <w:separator/>
      </w:r>
    </w:p>
  </w:footnote>
  <w:footnote w:type="continuationSeparator" w:id="0">
    <w:p w14:paraId="14E37C60" w14:textId="77777777" w:rsidR="00C01DF1" w:rsidRDefault="00C01DF1" w:rsidP="002C6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F9BF" w14:textId="4CD98B4C" w:rsidR="002C69DE" w:rsidRDefault="002C69DE" w:rsidP="002C69DE">
    <w:pPr>
      <w:pStyle w:val="Nagwek"/>
      <w:ind w:left="113"/>
      <w:jc w:val="center"/>
    </w:pPr>
    <w:r w:rsidRPr="00963616">
      <w:rPr>
        <w:noProof/>
        <w:lang w:eastAsia="pl-PL"/>
      </w:rPr>
      <w:drawing>
        <wp:inline distT="0" distB="0" distL="0" distR="0" wp14:anchorId="76A1188F" wp14:editId="1D380FAD">
          <wp:extent cx="1133475" cy="528518"/>
          <wp:effectExtent l="0" t="0" r="0" b="5080"/>
          <wp:docPr id="31" name="Obraz 3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braz 2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662" cy="541195"/>
                  </a:xfrm>
                  <a:prstGeom prst="rect">
                    <a:avLst/>
                  </a:prstGeom>
                  <a:noFill/>
                  <a:ln>
                    <a:noFill/>
                  </a:ln>
                </pic:spPr>
              </pic:pic>
            </a:graphicData>
          </a:graphic>
        </wp:inline>
      </w:drawing>
    </w:r>
    <w:r w:rsidRPr="00963616">
      <w:rPr>
        <w:noProof/>
        <w:lang w:eastAsia="pl-PL"/>
      </w:rPr>
      <w:drawing>
        <wp:inline distT="0" distB="0" distL="0" distR="0" wp14:anchorId="0ABE1EB7" wp14:editId="3AAD152B">
          <wp:extent cx="1362075" cy="455528"/>
          <wp:effectExtent l="0" t="0" r="0" b="1905"/>
          <wp:docPr id="32" name="Obraz 3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braz 22" descr="Obraz zawierający teks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9187" cy="491350"/>
                  </a:xfrm>
                  <a:prstGeom prst="rect">
                    <a:avLst/>
                  </a:prstGeom>
                  <a:noFill/>
                  <a:ln>
                    <a:noFill/>
                  </a:ln>
                </pic:spPr>
              </pic:pic>
            </a:graphicData>
          </a:graphic>
        </wp:inline>
      </w:drawing>
    </w:r>
    <w:r w:rsidR="0059165C" w:rsidRPr="0059165C">
      <w:t xml:space="preserve"> </w:t>
    </w:r>
    <w:r w:rsidR="0059165C">
      <w:rPr>
        <w:noProof/>
      </w:rPr>
      <w:drawing>
        <wp:inline distT="0" distB="0" distL="0" distR="0" wp14:anchorId="6E774D02" wp14:editId="62D8A58D">
          <wp:extent cx="746760" cy="646430"/>
          <wp:effectExtent l="0" t="0" r="0" b="0"/>
          <wp:docPr id="1" name="Obraz 1"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logo&#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3958" cy="652661"/>
                  </a:xfrm>
                  <a:prstGeom prst="rect">
                    <a:avLst/>
                  </a:prstGeom>
                  <a:noFill/>
                  <a:ln>
                    <a:noFill/>
                  </a:ln>
                </pic:spPr>
              </pic:pic>
            </a:graphicData>
          </a:graphic>
        </wp:inline>
      </w:drawing>
    </w:r>
    <w:r w:rsidRPr="00963616">
      <w:rPr>
        <w:noProof/>
        <w:lang w:eastAsia="pl-PL"/>
      </w:rPr>
      <w:drawing>
        <wp:inline distT="0" distB="0" distL="0" distR="0" wp14:anchorId="2AA85A8C" wp14:editId="40BA77AA">
          <wp:extent cx="1638300" cy="523496"/>
          <wp:effectExtent l="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3019" cy="540981"/>
                  </a:xfrm>
                  <a:prstGeom prst="rect">
                    <a:avLst/>
                  </a:prstGeom>
                  <a:noFill/>
                  <a:ln>
                    <a:noFill/>
                  </a:ln>
                </pic:spPr>
              </pic:pic>
            </a:graphicData>
          </a:graphic>
        </wp:inline>
      </w:drawing>
    </w:r>
  </w:p>
  <w:p w14:paraId="31384FCF" w14:textId="77777777" w:rsidR="002C69DE" w:rsidRDefault="002C69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362"/>
    <w:multiLevelType w:val="hybridMultilevel"/>
    <w:tmpl w:val="4C66339C"/>
    <w:lvl w:ilvl="0" w:tplc="5A66736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4013A0"/>
    <w:multiLevelType w:val="hybridMultilevel"/>
    <w:tmpl w:val="C5C495A4"/>
    <w:lvl w:ilvl="0" w:tplc="5A66736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F96FD8"/>
    <w:multiLevelType w:val="hybridMultilevel"/>
    <w:tmpl w:val="CBB69D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8B32CE"/>
    <w:multiLevelType w:val="hybridMultilevel"/>
    <w:tmpl w:val="740420EE"/>
    <w:lvl w:ilvl="0" w:tplc="5A66736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A12531"/>
    <w:multiLevelType w:val="hybridMultilevel"/>
    <w:tmpl w:val="B05EAB40"/>
    <w:lvl w:ilvl="0" w:tplc="5A66736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8861B8"/>
    <w:multiLevelType w:val="hybridMultilevel"/>
    <w:tmpl w:val="CF684BEE"/>
    <w:lvl w:ilvl="0" w:tplc="5A66736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E967B9"/>
    <w:multiLevelType w:val="hybridMultilevel"/>
    <w:tmpl w:val="883E4A52"/>
    <w:lvl w:ilvl="0" w:tplc="5A66736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531F4C"/>
    <w:multiLevelType w:val="hybridMultilevel"/>
    <w:tmpl w:val="3972255C"/>
    <w:lvl w:ilvl="0" w:tplc="5A66736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7931D7"/>
    <w:multiLevelType w:val="hybridMultilevel"/>
    <w:tmpl w:val="23D65396"/>
    <w:lvl w:ilvl="0" w:tplc="5A66736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3B3855"/>
    <w:multiLevelType w:val="hybridMultilevel"/>
    <w:tmpl w:val="152223F8"/>
    <w:lvl w:ilvl="0" w:tplc="5A66736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6B7E45"/>
    <w:multiLevelType w:val="hybridMultilevel"/>
    <w:tmpl w:val="34EE1D94"/>
    <w:lvl w:ilvl="0" w:tplc="5A66736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4B1B01"/>
    <w:multiLevelType w:val="hybridMultilevel"/>
    <w:tmpl w:val="AC1AEEDC"/>
    <w:lvl w:ilvl="0" w:tplc="5A66736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B852C3"/>
    <w:multiLevelType w:val="hybridMultilevel"/>
    <w:tmpl w:val="A5703566"/>
    <w:lvl w:ilvl="0" w:tplc="A7A2A6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9740515"/>
    <w:multiLevelType w:val="hybridMultilevel"/>
    <w:tmpl w:val="334E9F70"/>
    <w:lvl w:ilvl="0" w:tplc="5A66736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742C68"/>
    <w:multiLevelType w:val="hybridMultilevel"/>
    <w:tmpl w:val="BB2ABA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0F3E4D"/>
    <w:multiLevelType w:val="hybridMultilevel"/>
    <w:tmpl w:val="8C4EF52A"/>
    <w:lvl w:ilvl="0" w:tplc="5A66736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589086D"/>
    <w:multiLevelType w:val="hybridMultilevel"/>
    <w:tmpl w:val="01F45368"/>
    <w:lvl w:ilvl="0" w:tplc="26DADA44">
      <w:start w:val="1"/>
      <w:numFmt w:val="decimal"/>
      <w:lvlText w:val="%1."/>
      <w:lvlJc w:val="left"/>
      <w:pPr>
        <w:ind w:left="720" w:hanging="360"/>
      </w:pPr>
      <w:rPr>
        <w:rFonts w:ascii="Calibri" w:hAnsi="Calibri" w:hint="default"/>
        <w:b w:val="0"/>
        <w:i w:val="0"/>
        <w:caps w:val="0"/>
        <w:strike w:val="0"/>
        <w:dstrike w:val="0"/>
        <w:outline w:val="0"/>
        <w:shadow w:val="0"/>
        <w:emboss w:val="0"/>
        <w:imprint w:val="0"/>
        <w:vanish w:val="0"/>
        <w:color w:val="auto"/>
        <w:sz w:val="22"/>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557068"/>
    <w:multiLevelType w:val="hybridMultilevel"/>
    <w:tmpl w:val="AC442D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C52A66"/>
    <w:multiLevelType w:val="hybridMultilevel"/>
    <w:tmpl w:val="27D0C18A"/>
    <w:lvl w:ilvl="0" w:tplc="B0704276">
      <w:start w:val="1"/>
      <w:numFmt w:val="decimal"/>
      <w:lvlText w:val="%1)"/>
      <w:lvlJc w:val="left"/>
      <w:pPr>
        <w:ind w:left="720" w:hanging="360"/>
      </w:pPr>
      <w:rPr>
        <w:rFonts w:eastAsiaTheme="maj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AC1852"/>
    <w:multiLevelType w:val="hybridMultilevel"/>
    <w:tmpl w:val="25C0B544"/>
    <w:lvl w:ilvl="0" w:tplc="5A66736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E7010DA"/>
    <w:multiLevelType w:val="hybridMultilevel"/>
    <w:tmpl w:val="201084E0"/>
    <w:lvl w:ilvl="0" w:tplc="5A66736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0083B11"/>
    <w:multiLevelType w:val="hybridMultilevel"/>
    <w:tmpl w:val="01F45368"/>
    <w:lvl w:ilvl="0" w:tplc="FFFFFFFF">
      <w:start w:val="1"/>
      <w:numFmt w:val="decimal"/>
      <w:lvlText w:val="%1."/>
      <w:lvlJc w:val="left"/>
      <w:pPr>
        <w:ind w:left="720" w:hanging="360"/>
      </w:pPr>
      <w:rPr>
        <w:rFonts w:ascii="Calibri" w:hAnsi="Calibri" w:hint="default"/>
        <w:b w:val="0"/>
        <w:i w:val="0"/>
        <w:caps w:val="0"/>
        <w:strike w:val="0"/>
        <w:dstrike w:val="0"/>
        <w:outline w:val="0"/>
        <w:shadow w:val="0"/>
        <w:emboss w:val="0"/>
        <w:imprint w:val="0"/>
        <w:vanish w:val="0"/>
        <w:color w:val="auto"/>
        <w:sz w:val="22"/>
        <w:u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7595BB3"/>
    <w:multiLevelType w:val="hybridMultilevel"/>
    <w:tmpl w:val="0B484968"/>
    <w:lvl w:ilvl="0" w:tplc="5A66736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7C7574A"/>
    <w:multiLevelType w:val="hybridMultilevel"/>
    <w:tmpl w:val="E782F508"/>
    <w:lvl w:ilvl="0" w:tplc="5A66736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8A93A86"/>
    <w:multiLevelType w:val="hybridMultilevel"/>
    <w:tmpl w:val="2A1CBDE6"/>
    <w:lvl w:ilvl="0" w:tplc="5A66736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E2408C1"/>
    <w:multiLevelType w:val="hybridMultilevel"/>
    <w:tmpl w:val="80D0240C"/>
    <w:lvl w:ilvl="0" w:tplc="5A66736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0551432"/>
    <w:multiLevelType w:val="hybridMultilevel"/>
    <w:tmpl w:val="C1265472"/>
    <w:lvl w:ilvl="0" w:tplc="5A66736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4075EDF"/>
    <w:multiLevelType w:val="hybridMultilevel"/>
    <w:tmpl w:val="F2C628FA"/>
    <w:lvl w:ilvl="0" w:tplc="5A66736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94A2D32"/>
    <w:multiLevelType w:val="hybridMultilevel"/>
    <w:tmpl w:val="5316C7C4"/>
    <w:lvl w:ilvl="0" w:tplc="A9D4B9A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9794657"/>
    <w:multiLevelType w:val="hybridMultilevel"/>
    <w:tmpl w:val="13D642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4C3C17"/>
    <w:multiLevelType w:val="hybridMultilevel"/>
    <w:tmpl w:val="2B7EF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6035C2"/>
    <w:multiLevelType w:val="hybridMultilevel"/>
    <w:tmpl w:val="192C17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3D669B"/>
    <w:multiLevelType w:val="hybridMultilevel"/>
    <w:tmpl w:val="FFDAD9B0"/>
    <w:lvl w:ilvl="0" w:tplc="5A66736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E2A2F38"/>
    <w:multiLevelType w:val="hybridMultilevel"/>
    <w:tmpl w:val="160C2990"/>
    <w:lvl w:ilvl="0" w:tplc="5A66736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E540ADD"/>
    <w:multiLevelType w:val="multilevel"/>
    <w:tmpl w:val="F53E0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5ED1523C"/>
    <w:multiLevelType w:val="hybridMultilevel"/>
    <w:tmpl w:val="A0626084"/>
    <w:lvl w:ilvl="0" w:tplc="5A66736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52500A2"/>
    <w:multiLevelType w:val="hybridMultilevel"/>
    <w:tmpl w:val="80DA99E4"/>
    <w:lvl w:ilvl="0" w:tplc="5A66736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54B2F80"/>
    <w:multiLevelType w:val="hybridMultilevel"/>
    <w:tmpl w:val="D6E826E4"/>
    <w:lvl w:ilvl="0" w:tplc="5A66736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7B315FC"/>
    <w:multiLevelType w:val="hybridMultilevel"/>
    <w:tmpl w:val="5C86FFE6"/>
    <w:lvl w:ilvl="0" w:tplc="5A66736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93569B0"/>
    <w:multiLevelType w:val="hybridMultilevel"/>
    <w:tmpl w:val="9E5CC35C"/>
    <w:lvl w:ilvl="0" w:tplc="26DADA44">
      <w:start w:val="1"/>
      <w:numFmt w:val="decimal"/>
      <w:lvlText w:val="%1."/>
      <w:lvlJc w:val="left"/>
      <w:pPr>
        <w:ind w:left="720" w:hanging="360"/>
      </w:pPr>
      <w:rPr>
        <w:rFonts w:ascii="Calibri" w:hAnsi="Calibri" w:hint="default"/>
        <w:b w:val="0"/>
        <w:i w:val="0"/>
        <w:caps w:val="0"/>
        <w:strike w:val="0"/>
        <w:dstrike w:val="0"/>
        <w:outline w:val="0"/>
        <w:shadow w:val="0"/>
        <w:emboss w:val="0"/>
        <w:imprint w:val="0"/>
        <w:vanish w:val="0"/>
        <w:color w:val="auto"/>
        <w:sz w:val="22"/>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DE0952"/>
    <w:multiLevelType w:val="hybridMultilevel"/>
    <w:tmpl w:val="FCA29BA4"/>
    <w:lvl w:ilvl="0" w:tplc="5A66736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B0A3B43"/>
    <w:multiLevelType w:val="hybridMultilevel"/>
    <w:tmpl w:val="F8D0EC8A"/>
    <w:lvl w:ilvl="0" w:tplc="05A008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D063D4A"/>
    <w:multiLevelType w:val="hybridMultilevel"/>
    <w:tmpl w:val="3962C21A"/>
    <w:lvl w:ilvl="0" w:tplc="5A66736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D73317C"/>
    <w:multiLevelType w:val="hybridMultilevel"/>
    <w:tmpl w:val="07F80E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CD03C8"/>
    <w:multiLevelType w:val="hybridMultilevel"/>
    <w:tmpl w:val="A1B673D0"/>
    <w:lvl w:ilvl="0" w:tplc="5A66736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F265F8A"/>
    <w:multiLevelType w:val="hybridMultilevel"/>
    <w:tmpl w:val="0628AEB6"/>
    <w:lvl w:ilvl="0" w:tplc="5A66736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07A3BB3"/>
    <w:multiLevelType w:val="hybridMultilevel"/>
    <w:tmpl w:val="AF502BCE"/>
    <w:lvl w:ilvl="0" w:tplc="5A66736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5E92BA1"/>
    <w:multiLevelType w:val="hybridMultilevel"/>
    <w:tmpl w:val="4DD20896"/>
    <w:lvl w:ilvl="0" w:tplc="5A66736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ABA0AFF"/>
    <w:multiLevelType w:val="hybridMultilevel"/>
    <w:tmpl w:val="40DA62DE"/>
    <w:lvl w:ilvl="0" w:tplc="5A66736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AD20D8F"/>
    <w:multiLevelType w:val="hybridMultilevel"/>
    <w:tmpl w:val="29366C6A"/>
    <w:lvl w:ilvl="0" w:tplc="5A66736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B567720"/>
    <w:multiLevelType w:val="hybridMultilevel"/>
    <w:tmpl w:val="0AC452F4"/>
    <w:lvl w:ilvl="0" w:tplc="5A66736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BB478AE"/>
    <w:multiLevelType w:val="hybridMultilevel"/>
    <w:tmpl w:val="DFC6349A"/>
    <w:lvl w:ilvl="0" w:tplc="5A66736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BF36027"/>
    <w:multiLevelType w:val="multilevel"/>
    <w:tmpl w:val="0EF8885E"/>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01964097">
    <w:abstractNumId w:val="30"/>
  </w:num>
  <w:num w:numId="2" w16cid:durableId="959805461">
    <w:abstractNumId w:val="12"/>
  </w:num>
  <w:num w:numId="3" w16cid:durableId="876890655">
    <w:abstractNumId w:val="18"/>
  </w:num>
  <w:num w:numId="4" w16cid:durableId="2125221476">
    <w:abstractNumId w:val="2"/>
  </w:num>
  <w:num w:numId="5" w16cid:durableId="588193137">
    <w:abstractNumId w:val="17"/>
  </w:num>
  <w:num w:numId="6" w16cid:durableId="1432892286">
    <w:abstractNumId w:val="52"/>
  </w:num>
  <w:num w:numId="7" w16cid:durableId="550654254">
    <w:abstractNumId w:val="14"/>
  </w:num>
  <w:num w:numId="8" w16cid:durableId="532041997">
    <w:abstractNumId w:val="28"/>
  </w:num>
  <w:num w:numId="9" w16cid:durableId="926304582">
    <w:abstractNumId w:val="43"/>
  </w:num>
  <w:num w:numId="10" w16cid:durableId="286857961">
    <w:abstractNumId w:val="31"/>
  </w:num>
  <w:num w:numId="11" w16cid:durableId="750275743">
    <w:abstractNumId w:val="39"/>
  </w:num>
  <w:num w:numId="12" w16cid:durableId="2029603260">
    <w:abstractNumId w:val="41"/>
  </w:num>
  <w:num w:numId="13" w16cid:durableId="1056665854">
    <w:abstractNumId w:val="34"/>
  </w:num>
  <w:num w:numId="14" w16cid:durableId="787526">
    <w:abstractNumId w:val="16"/>
  </w:num>
  <w:num w:numId="15" w16cid:durableId="680818174">
    <w:abstractNumId w:val="23"/>
  </w:num>
  <w:num w:numId="16" w16cid:durableId="1730958135">
    <w:abstractNumId w:val="45"/>
  </w:num>
  <w:num w:numId="17" w16cid:durableId="548225667">
    <w:abstractNumId w:val="15"/>
  </w:num>
  <w:num w:numId="18" w16cid:durableId="1655183564">
    <w:abstractNumId w:val="13"/>
  </w:num>
  <w:num w:numId="19" w16cid:durableId="1865089548">
    <w:abstractNumId w:val="24"/>
  </w:num>
  <w:num w:numId="20" w16cid:durableId="844513032">
    <w:abstractNumId w:val="33"/>
  </w:num>
  <w:num w:numId="21" w16cid:durableId="1369717706">
    <w:abstractNumId w:val="25"/>
  </w:num>
  <w:num w:numId="22" w16cid:durableId="2065055111">
    <w:abstractNumId w:val="3"/>
  </w:num>
  <w:num w:numId="23" w16cid:durableId="604966578">
    <w:abstractNumId w:val="40"/>
  </w:num>
  <w:num w:numId="24" w16cid:durableId="2100330258">
    <w:abstractNumId w:val="38"/>
  </w:num>
  <w:num w:numId="25" w16cid:durableId="679740385">
    <w:abstractNumId w:val="7"/>
  </w:num>
  <w:num w:numId="26" w16cid:durableId="2044475387">
    <w:abstractNumId w:val="32"/>
  </w:num>
  <w:num w:numId="27" w16cid:durableId="1395736068">
    <w:abstractNumId w:val="5"/>
  </w:num>
  <w:num w:numId="28" w16cid:durableId="1861893152">
    <w:abstractNumId w:val="46"/>
  </w:num>
  <w:num w:numId="29" w16cid:durableId="1794058756">
    <w:abstractNumId w:val="42"/>
  </w:num>
  <w:num w:numId="30" w16cid:durableId="563029928">
    <w:abstractNumId w:val="49"/>
  </w:num>
  <w:num w:numId="31" w16cid:durableId="219750952">
    <w:abstractNumId w:val="22"/>
  </w:num>
  <w:num w:numId="32" w16cid:durableId="472599355">
    <w:abstractNumId w:val="19"/>
  </w:num>
  <w:num w:numId="33" w16cid:durableId="1272007822">
    <w:abstractNumId w:val="48"/>
  </w:num>
  <w:num w:numId="34" w16cid:durableId="596671109">
    <w:abstractNumId w:val="47"/>
  </w:num>
  <w:num w:numId="35" w16cid:durableId="268507746">
    <w:abstractNumId w:val="1"/>
  </w:num>
  <w:num w:numId="36" w16cid:durableId="1450470834">
    <w:abstractNumId w:val="50"/>
  </w:num>
  <w:num w:numId="37" w16cid:durableId="451024239">
    <w:abstractNumId w:val="44"/>
  </w:num>
  <w:num w:numId="38" w16cid:durableId="105081889">
    <w:abstractNumId w:val="27"/>
  </w:num>
  <w:num w:numId="39" w16cid:durableId="1860309733">
    <w:abstractNumId w:val="26"/>
  </w:num>
  <w:num w:numId="40" w16cid:durableId="439375613">
    <w:abstractNumId w:val="9"/>
  </w:num>
  <w:num w:numId="41" w16cid:durableId="1703628821">
    <w:abstractNumId w:val="51"/>
  </w:num>
  <w:num w:numId="42" w16cid:durableId="1989092904">
    <w:abstractNumId w:val="8"/>
  </w:num>
  <w:num w:numId="43" w16cid:durableId="423573606">
    <w:abstractNumId w:val="20"/>
  </w:num>
  <w:num w:numId="44" w16cid:durableId="1814567074">
    <w:abstractNumId w:val="0"/>
  </w:num>
  <w:num w:numId="45" w16cid:durableId="999426144">
    <w:abstractNumId w:val="35"/>
  </w:num>
  <w:num w:numId="46" w16cid:durableId="1994212592">
    <w:abstractNumId w:val="36"/>
  </w:num>
  <w:num w:numId="47" w16cid:durableId="1754625884">
    <w:abstractNumId w:val="11"/>
  </w:num>
  <w:num w:numId="48" w16cid:durableId="1669939958">
    <w:abstractNumId w:val="10"/>
  </w:num>
  <w:num w:numId="49" w16cid:durableId="267542388">
    <w:abstractNumId w:val="37"/>
  </w:num>
  <w:num w:numId="50" w16cid:durableId="699744686">
    <w:abstractNumId w:val="4"/>
  </w:num>
  <w:num w:numId="51" w16cid:durableId="1800370827">
    <w:abstractNumId w:val="6"/>
  </w:num>
  <w:num w:numId="52" w16cid:durableId="1657418137">
    <w:abstractNumId w:val="29"/>
  </w:num>
  <w:num w:numId="53" w16cid:durableId="76260778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60B"/>
    <w:rsid w:val="00004E9F"/>
    <w:rsid w:val="00026D92"/>
    <w:rsid w:val="000663AA"/>
    <w:rsid w:val="00074DE7"/>
    <w:rsid w:val="0009316B"/>
    <w:rsid w:val="000E75D3"/>
    <w:rsid w:val="000F6B23"/>
    <w:rsid w:val="00112500"/>
    <w:rsid w:val="00114F49"/>
    <w:rsid w:val="0017159A"/>
    <w:rsid w:val="00195F53"/>
    <w:rsid w:val="001A5130"/>
    <w:rsid w:val="001C0F3B"/>
    <w:rsid w:val="001E2D74"/>
    <w:rsid w:val="001E5E05"/>
    <w:rsid w:val="0022423F"/>
    <w:rsid w:val="0024760B"/>
    <w:rsid w:val="00256AA1"/>
    <w:rsid w:val="00267136"/>
    <w:rsid w:val="00285688"/>
    <w:rsid w:val="002C69DE"/>
    <w:rsid w:val="002D08CA"/>
    <w:rsid w:val="002E6F5D"/>
    <w:rsid w:val="002F7EDD"/>
    <w:rsid w:val="00314EA1"/>
    <w:rsid w:val="00321E0A"/>
    <w:rsid w:val="003224B4"/>
    <w:rsid w:val="00330137"/>
    <w:rsid w:val="003336A4"/>
    <w:rsid w:val="00347C65"/>
    <w:rsid w:val="0035137B"/>
    <w:rsid w:val="003621F8"/>
    <w:rsid w:val="003700B9"/>
    <w:rsid w:val="00370C3C"/>
    <w:rsid w:val="003863F5"/>
    <w:rsid w:val="00392E1F"/>
    <w:rsid w:val="00396741"/>
    <w:rsid w:val="003C1CC1"/>
    <w:rsid w:val="003F2D92"/>
    <w:rsid w:val="004056BA"/>
    <w:rsid w:val="00436BFC"/>
    <w:rsid w:val="0044361E"/>
    <w:rsid w:val="004C0AAD"/>
    <w:rsid w:val="004D5C4D"/>
    <w:rsid w:val="00574ADF"/>
    <w:rsid w:val="00590A39"/>
    <w:rsid w:val="0059165C"/>
    <w:rsid w:val="005C2E05"/>
    <w:rsid w:val="005C6799"/>
    <w:rsid w:val="005C7AD4"/>
    <w:rsid w:val="005E251A"/>
    <w:rsid w:val="006370CC"/>
    <w:rsid w:val="00675C2E"/>
    <w:rsid w:val="006B585F"/>
    <w:rsid w:val="006B6CC7"/>
    <w:rsid w:val="006C4102"/>
    <w:rsid w:val="006D0A21"/>
    <w:rsid w:val="0074272B"/>
    <w:rsid w:val="0078658E"/>
    <w:rsid w:val="007A3A37"/>
    <w:rsid w:val="007A59D9"/>
    <w:rsid w:val="007B1AE9"/>
    <w:rsid w:val="007F3DE5"/>
    <w:rsid w:val="00845A07"/>
    <w:rsid w:val="00861276"/>
    <w:rsid w:val="00865261"/>
    <w:rsid w:val="008B2194"/>
    <w:rsid w:val="008D3D47"/>
    <w:rsid w:val="0090233A"/>
    <w:rsid w:val="00912E0C"/>
    <w:rsid w:val="00932212"/>
    <w:rsid w:val="00951950"/>
    <w:rsid w:val="009701BB"/>
    <w:rsid w:val="00990253"/>
    <w:rsid w:val="009B06E4"/>
    <w:rsid w:val="009C37BE"/>
    <w:rsid w:val="009E219D"/>
    <w:rsid w:val="009E23EA"/>
    <w:rsid w:val="009E2EF1"/>
    <w:rsid w:val="00A44915"/>
    <w:rsid w:val="00A63E31"/>
    <w:rsid w:val="00A73356"/>
    <w:rsid w:val="00A77360"/>
    <w:rsid w:val="00A93A15"/>
    <w:rsid w:val="00AD1C16"/>
    <w:rsid w:val="00AD36F2"/>
    <w:rsid w:val="00B27196"/>
    <w:rsid w:val="00B35108"/>
    <w:rsid w:val="00B413DD"/>
    <w:rsid w:val="00B518EF"/>
    <w:rsid w:val="00B65AE0"/>
    <w:rsid w:val="00B66361"/>
    <w:rsid w:val="00B70DA0"/>
    <w:rsid w:val="00BA66FA"/>
    <w:rsid w:val="00BA7AFB"/>
    <w:rsid w:val="00BC21B6"/>
    <w:rsid w:val="00C01DF1"/>
    <w:rsid w:val="00C0492A"/>
    <w:rsid w:val="00C168F3"/>
    <w:rsid w:val="00C43B9F"/>
    <w:rsid w:val="00C83430"/>
    <w:rsid w:val="00C950E6"/>
    <w:rsid w:val="00CC54E5"/>
    <w:rsid w:val="00CD1687"/>
    <w:rsid w:val="00CD707D"/>
    <w:rsid w:val="00CE41A3"/>
    <w:rsid w:val="00CF486D"/>
    <w:rsid w:val="00D0009A"/>
    <w:rsid w:val="00D13718"/>
    <w:rsid w:val="00D15072"/>
    <w:rsid w:val="00DB61C5"/>
    <w:rsid w:val="00E21EF9"/>
    <w:rsid w:val="00E34B6D"/>
    <w:rsid w:val="00E3606A"/>
    <w:rsid w:val="00E56A34"/>
    <w:rsid w:val="00E71644"/>
    <w:rsid w:val="00E73B37"/>
    <w:rsid w:val="00E830B7"/>
    <w:rsid w:val="00EA5C67"/>
    <w:rsid w:val="00EB07B9"/>
    <w:rsid w:val="00EB6A20"/>
    <w:rsid w:val="00ED6E7B"/>
    <w:rsid w:val="00F02DB3"/>
    <w:rsid w:val="00F131D5"/>
    <w:rsid w:val="00F2617F"/>
    <w:rsid w:val="00F267F6"/>
    <w:rsid w:val="00F41A23"/>
    <w:rsid w:val="00F443D9"/>
    <w:rsid w:val="00F46FD7"/>
    <w:rsid w:val="00F534AC"/>
    <w:rsid w:val="00F94E3E"/>
    <w:rsid w:val="00FF71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11089"/>
  <w15:chartTrackingRefBased/>
  <w15:docId w15:val="{B3612A15-DB3F-4EDE-96ED-E1785858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663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CW_Lista,wypunktowanie,Nag 1,Wypunktowanie,List Paragraph1,L1,Numerowanie,Akapit z listą5,normalny tekst,ISCG Numerowanie,lp1,maz_wyliczenie,opis dzialania,K-P_odwolanie,A_wyliczenie,Akapit z listą 1,Table of contents numbered"/>
    <w:basedOn w:val="Normalny"/>
    <w:link w:val="AkapitzlistZnak"/>
    <w:uiPriority w:val="34"/>
    <w:qFormat/>
    <w:rsid w:val="00267136"/>
    <w:pPr>
      <w:ind w:left="720"/>
      <w:contextualSpacing/>
    </w:pPr>
  </w:style>
  <w:style w:type="character" w:customStyle="1" w:styleId="Nagwek1Znak">
    <w:name w:val="Nagłówek 1 Znak"/>
    <w:basedOn w:val="Domylnaczcionkaakapitu"/>
    <w:link w:val="Nagwek1"/>
    <w:uiPriority w:val="9"/>
    <w:rsid w:val="000663AA"/>
    <w:rPr>
      <w:rFonts w:asciiTheme="majorHAnsi" w:eastAsiaTheme="majorEastAsia" w:hAnsiTheme="majorHAnsi" w:cstheme="majorBidi"/>
      <w:color w:val="2F5496" w:themeColor="accent1" w:themeShade="BF"/>
      <w:sz w:val="32"/>
      <w:szCs w:val="32"/>
    </w:rPr>
  </w:style>
  <w:style w:type="paragraph" w:styleId="Tekstpodstawowy">
    <w:name w:val="Body Text"/>
    <w:basedOn w:val="Normalny"/>
    <w:link w:val="TekstpodstawowyZnak"/>
    <w:semiHidden/>
    <w:rsid w:val="00B27196"/>
    <w:pPr>
      <w:widowControl w:val="0"/>
      <w:autoSpaceDE w:val="0"/>
      <w:autoSpaceDN w:val="0"/>
      <w:adjustRightInd w:val="0"/>
      <w:spacing w:after="0" w:line="278" w:lineRule="auto"/>
      <w:jc w:val="both"/>
    </w:pPr>
    <w:rPr>
      <w:rFonts w:ascii="Arial" w:eastAsia="Times New Roman" w:hAnsi="Arial" w:cs="Arial"/>
      <w:sz w:val="18"/>
      <w:szCs w:val="18"/>
      <w:lang w:eastAsia="pl-PL"/>
    </w:rPr>
  </w:style>
  <w:style w:type="character" w:customStyle="1" w:styleId="TekstpodstawowyZnak">
    <w:name w:val="Tekst podstawowy Znak"/>
    <w:basedOn w:val="Domylnaczcionkaakapitu"/>
    <w:link w:val="Tekstpodstawowy"/>
    <w:semiHidden/>
    <w:rsid w:val="00B27196"/>
    <w:rPr>
      <w:rFonts w:ascii="Arial" w:eastAsia="Times New Roman" w:hAnsi="Arial" w:cs="Arial"/>
      <w:sz w:val="18"/>
      <w:szCs w:val="18"/>
      <w:lang w:eastAsia="pl-PL"/>
    </w:rPr>
  </w:style>
  <w:style w:type="character" w:styleId="Odwoaniedokomentarza">
    <w:name w:val="annotation reference"/>
    <w:basedOn w:val="Domylnaczcionkaakapitu"/>
    <w:uiPriority w:val="99"/>
    <w:semiHidden/>
    <w:unhideWhenUsed/>
    <w:rsid w:val="003224B4"/>
    <w:rPr>
      <w:sz w:val="16"/>
      <w:szCs w:val="16"/>
    </w:rPr>
  </w:style>
  <w:style w:type="paragraph" w:styleId="Tekstkomentarza">
    <w:name w:val="annotation text"/>
    <w:basedOn w:val="Normalny"/>
    <w:link w:val="TekstkomentarzaZnak"/>
    <w:uiPriority w:val="99"/>
    <w:unhideWhenUsed/>
    <w:rsid w:val="003224B4"/>
    <w:pPr>
      <w:spacing w:line="240" w:lineRule="auto"/>
    </w:pPr>
    <w:rPr>
      <w:sz w:val="20"/>
      <w:szCs w:val="20"/>
    </w:rPr>
  </w:style>
  <w:style w:type="character" w:customStyle="1" w:styleId="TekstkomentarzaZnak">
    <w:name w:val="Tekst komentarza Znak"/>
    <w:basedOn w:val="Domylnaczcionkaakapitu"/>
    <w:link w:val="Tekstkomentarza"/>
    <w:uiPriority w:val="99"/>
    <w:rsid w:val="003224B4"/>
    <w:rPr>
      <w:sz w:val="20"/>
      <w:szCs w:val="20"/>
    </w:rPr>
  </w:style>
  <w:style w:type="paragraph" w:styleId="Tematkomentarza">
    <w:name w:val="annotation subject"/>
    <w:basedOn w:val="Tekstkomentarza"/>
    <w:next w:val="Tekstkomentarza"/>
    <w:link w:val="TematkomentarzaZnak"/>
    <w:uiPriority w:val="99"/>
    <w:semiHidden/>
    <w:unhideWhenUsed/>
    <w:rsid w:val="003224B4"/>
    <w:rPr>
      <w:b/>
      <w:bCs/>
    </w:rPr>
  </w:style>
  <w:style w:type="character" w:customStyle="1" w:styleId="TematkomentarzaZnak">
    <w:name w:val="Temat komentarza Znak"/>
    <w:basedOn w:val="TekstkomentarzaZnak"/>
    <w:link w:val="Tematkomentarza"/>
    <w:uiPriority w:val="99"/>
    <w:semiHidden/>
    <w:rsid w:val="003224B4"/>
    <w:rPr>
      <w:b/>
      <w:bCs/>
      <w:sz w:val="20"/>
      <w:szCs w:val="20"/>
    </w:rPr>
  </w:style>
  <w:style w:type="paragraph" w:styleId="Nagwek">
    <w:name w:val="header"/>
    <w:basedOn w:val="Normalny"/>
    <w:link w:val="NagwekZnak"/>
    <w:uiPriority w:val="99"/>
    <w:unhideWhenUsed/>
    <w:rsid w:val="002C69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69DE"/>
  </w:style>
  <w:style w:type="paragraph" w:styleId="Stopka">
    <w:name w:val="footer"/>
    <w:basedOn w:val="Normalny"/>
    <w:link w:val="StopkaZnak"/>
    <w:uiPriority w:val="99"/>
    <w:unhideWhenUsed/>
    <w:rsid w:val="002C69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69DE"/>
  </w:style>
  <w:style w:type="table" w:customStyle="1" w:styleId="Tabela-Siatka1">
    <w:name w:val="Tabela - Siatka1"/>
    <w:basedOn w:val="Standardowy"/>
    <w:next w:val="Tabela-Siatka"/>
    <w:uiPriority w:val="39"/>
    <w:rsid w:val="002C69DE"/>
    <w:pPr>
      <w:spacing w:after="0" w:line="240" w:lineRule="auto"/>
    </w:pPr>
    <w:rPr>
      <w:rFonts w:eastAsia="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2C6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Odstavec Znak,CW_Lista Znak,wypunktowanie Znak,Nag 1 Znak,Wypunktowanie Znak,List Paragraph1 Znak,L1 Znak,Numerowanie Znak,Akapit z listą5 Znak,normalny tekst Znak,ISCG Numerowanie Znak,lp1 Znak,maz_wyliczenie Znak,K-P_odwolanie Znak"/>
    <w:link w:val="Akapitzlist"/>
    <w:uiPriority w:val="34"/>
    <w:qFormat/>
    <w:rsid w:val="00E71644"/>
  </w:style>
  <w:style w:type="table" w:styleId="Siatkatabelijasna">
    <w:name w:val="Grid Table Light"/>
    <w:basedOn w:val="Standardowy"/>
    <w:uiPriority w:val="40"/>
    <w:rsid w:val="00E71644"/>
    <w:pPr>
      <w:spacing w:after="0" w:line="240" w:lineRule="auto"/>
    </w:pPr>
    <w:rPr>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nyWeb">
    <w:name w:val="Normal (Web)"/>
    <w:basedOn w:val="Normalny"/>
    <w:uiPriority w:val="99"/>
    <w:semiHidden/>
    <w:unhideWhenUsed/>
    <w:rsid w:val="00112500"/>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675C2E"/>
    <w:rPr>
      <w:b/>
      <w:bCs/>
    </w:rPr>
  </w:style>
  <w:style w:type="paragraph" w:styleId="Poprawka">
    <w:name w:val="Revision"/>
    <w:hidden/>
    <w:uiPriority w:val="99"/>
    <w:semiHidden/>
    <w:rsid w:val="005C2E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190931">
      <w:bodyDiv w:val="1"/>
      <w:marLeft w:val="0"/>
      <w:marRight w:val="0"/>
      <w:marTop w:val="0"/>
      <w:marBottom w:val="0"/>
      <w:divBdr>
        <w:top w:val="none" w:sz="0" w:space="0" w:color="auto"/>
        <w:left w:val="none" w:sz="0" w:space="0" w:color="auto"/>
        <w:bottom w:val="none" w:sz="0" w:space="0" w:color="auto"/>
        <w:right w:val="none" w:sz="0" w:space="0" w:color="auto"/>
      </w:divBdr>
    </w:div>
    <w:div w:id="170185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14616FB460452B9F6A3E95F3890EF8"/>
        <w:category>
          <w:name w:val="Ogólne"/>
          <w:gallery w:val="placeholder"/>
        </w:category>
        <w:types>
          <w:type w:val="bbPlcHdr"/>
        </w:types>
        <w:behaviors>
          <w:behavior w:val="content"/>
        </w:behaviors>
        <w:guid w:val="{7C06D4DE-AE03-470C-9A6F-ED260B8EE905}"/>
      </w:docPartPr>
      <w:docPartBody>
        <w:p w:rsidR="00F41883" w:rsidRDefault="00F41883" w:rsidP="00F41883">
          <w:pPr>
            <w:pStyle w:val="D314616FB460452B9F6A3E95F3890EF8"/>
          </w:pPr>
          <w:r>
            <w:rPr>
              <w:rStyle w:val="Tekstzastpczy"/>
            </w:rPr>
            <w:t>Wpisz nazwę postępowania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883"/>
    <w:rsid w:val="00F418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41883"/>
    <w:rPr>
      <w:color w:val="808080"/>
    </w:rPr>
  </w:style>
  <w:style w:type="paragraph" w:customStyle="1" w:styleId="D314616FB460452B9F6A3E95F3890EF8">
    <w:name w:val="D314616FB460452B9F6A3E95F3890EF8"/>
    <w:rsid w:val="00F418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867</Words>
  <Characters>5207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dc:creator>
  <cp:keywords/>
  <dc:description/>
  <cp:lastModifiedBy>Barbara Mękarska</cp:lastModifiedBy>
  <cp:revision>18</cp:revision>
  <dcterms:created xsi:type="dcterms:W3CDTF">2023-07-14T11:00:00Z</dcterms:created>
  <dcterms:modified xsi:type="dcterms:W3CDTF">2023-09-07T08:23:00Z</dcterms:modified>
</cp:coreProperties>
</file>