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Pr="00857C5F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857C5F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857C5F">
        <w:rPr>
          <w:rFonts w:asciiTheme="minorHAnsi" w:hAnsiTheme="minorHAnsi" w:cstheme="minorHAnsi"/>
          <w:b/>
          <w:smallCaps/>
          <w:sz w:val="20"/>
        </w:rPr>
        <w:t>:</w:t>
      </w:r>
    </w:p>
    <w:p w14:paraId="3FD3A0A1" w14:textId="77777777" w:rsidR="00BA1DD3" w:rsidRPr="00857C5F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65EBFC31" w14:textId="34354290" w:rsidR="00FF2B70" w:rsidRPr="00857C5F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857C5F">
        <w:rPr>
          <w:rFonts w:ascii="Calibri" w:hAnsi="Calibri" w:cs="Calibri"/>
          <w:b/>
          <w:sz w:val="28"/>
          <w:szCs w:val="28"/>
        </w:rPr>
        <w:t xml:space="preserve">SAMODZIELNY PUBLICZNY ZAKŁAD OPIEKI ZDROWOTNEJ </w:t>
      </w:r>
      <w:r w:rsidR="00857C5F" w:rsidRPr="00857C5F">
        <w:rPr>
          <w:rFonts w:ascii="Calibri" w:hAnsi="Calibri" w:cs="Calibri"/>
          <w:b/>
          <w:sz w:val="28"/>
          <w:szCs w:val="28"/>
        </w:rPr>
        <w:t>–</w:t>
      </w:r>
      <w:r w:rsidRPr="00857C5F">
        <w:rPr>
          <w:rFonts w:ascii="Calibri" w:hAnsi="Calibri" w:cs="Calibri"/>
          <w:b/>
          <w:sz w:val="28"/>
          <w:szCs w:val="28"/>
        </w:rPr>
        <w:t xml:space="preserve"> </w:t>
      </w:r>
      <w:r w:rsidR="00857C5F" w:rsidRPr="00857C5F">
        <w:rPr>
          <w:rFonts w:ascii="Calibri" w:hAnsi="Calibri" w:cs="Calibri"/>
          <w:b/>
          <w:sz w:val="28"/>
          <w:szCs w:val="28"/>
        </w:rPr>
        <w:t>SZPITAL WIELOSPECJALISTYCZNY W JAWORZNIE</w:t>
      </w:r>
    </w:p>
    <w:p w14:paraId="2936D0F9" w14:textId="77777777" w:rsidR="00FF2B70" w:rsidRPr="00857C5F" w:rsidRDefault="00FF2B70" w:rsidP="00857C5F">
      <w:pPr>
        <w:jc w:val="center"/>
        <w:rPr>
          <w:rFonts w:ascii="Calibri" w:hAnsi="Calibri" w:cs="Calibri"/>
          <w:sz w:val="20"/>
          <w:szCs w:val="20"/>
        </w:rPr>
      </w:pPr>
    </w:p>
    <w:p w14:paraId="60154BE6" w14:textId="77777777" w:rsidR="00857C5F" w:rsidRDefault="00FF2B70" w:rsidP="00857C5F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 xml:space="preserve">tel. </w:t>
      </w:r>
      <w:r w:rsidR="00857C5F" w:rsidRPr="00857C5F">
        <w:rPr>
          <w:rFonts w:ascii="Calibri" w:hAnsi="Calibri" w:cs="Calibri"/>
          <w:sz w:val="20"/>
          <w:szCs w:val="20"/>
        </w:rPr>
        <w:t xml:space="preserve">32 6164482 </w:t>
      </w:r>
    </w:p>
    <w:p w14:paraId="70243E6E" w14:textId="42AB33DD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PKD:  8610</w:t>
      </w:r>
      <w:r w:rsidR="002676ED">
        <w:rPr>
          <w:rFonts w:ascii="Calibri" w:hAnsi="Calibri" w:cs="Calibri"/>
          <w:sz w:val="20"/>
          <w:szCs w:val="20"/>
        </w:rPr>
        <w:t>,</w:t>
      </w:r>
      <w:r w:rsidRPr="00857C5F">
        <w:rPr>
          <w:rFonts w:ascii="Calibri" w:hAnsi="Calibri" w:cs="Calibri"/>
          <w:sz w:val="20"/>
          <w:szCs w:val="20"/>
        </w:rPr>
        <w:t xml:space="preserve"> REGON: </w:t>
      </w:r>
      <w:r w:rsidR="00857C5F" w:rsidRPr="00857C5F">
        <w:rPr>
          <w:rFonts w:ascii="Calibri" w:hAnsi="Calibri" w:cs="Calibri"/>
          <w:sz w:val="20"/>
          <w:szCs w:val="20"/>
        </w:rPr>
        <w:t>270641184</w:t>
      </w:r>
      <w:r w:rsidR="002676ED">
        <w:rPr>
          <w:rFonts w:ascii="Calibri" w:hAnsi="Calibri" w:cs="Calibri"/>
          <w:sz w:val="20"/>
          <w:szCs w:val="20"/>
        </w:rPr>
        <w:t xml:space="preserve"> </w:t>
      </w:r>
      <w:r w:rsidRPr="00857C5F">
        <w:rPr>
          <w:rFonts w:ascii="Calibri" w:hAnsi="Calibri" w:cs="Calibri"/>
          <w:sz w:val="20"/>
          <w:szCs w:val="20"/>
        </w:rPr>
        <w:t xml:space="preserve"> NIP: </w:t>
      </w:r>
      <w:r w:rsidR="00857C5F" w:rsidRPr="00857C5F">
        <w:rPr>
          <w:rFonts w:ascii="Calibri" w:hAnsi="Calibri" w:cs="Calibri"/>
          <w:sz w:val="20"/>
          <w:szCs w:val="20"/>
        </w:rPr>
        <w:t>6321753077</w:t>
      </w:r>
    </w:p>
    <w:p w14:paraId="397BE41E" w14:textId="3743308F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KRS: </w:t>
      </w:r>
      <w:r w:rsidR="00857C5F" w:rsidRPr="00857C5F">
        <w:rPr>
          <w:rFonts w:ascii="Calibri" w:hAnsi="Calibri" w:cs="Calibri"/>
          <w:sz w:val="20"/>
          <w:szCs w:val="20"/>
          <w:lang w:val="en-US"/>
        </w:rPr>
        <w:t>000000013783</w:t>
      </w:r>
    </w:p>
    <w:p w14:paraId="60EB2AF0" w14:textId="610AF2C9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e-mail: </w:t>
      </w:r>
      <w:r w:rsidR="00857C5F" w:rsidRPr="00857C5F">
        <w:rPr>
          <w:rFonts w:ascii="Calibri" w:hAnsi="Calibri" w:cs="Calibri"/>
          <w:sz w:val="20"/>
          <w:szCs w:val="20"/>
          <w:lang w:val="en-US"/>
        </w:rPr>
        <w:t>sekretariat@szpital.jaworzno.pl</w:t>
      </w:r>
    </w:p>
    <w:p w14:paraId="49EB48E4" w14:textId="2A4433FF" w:rsidR="00FF2B70" w:rsidRPr="00857C5F" w:rsidRDefault="00857C5F" w:rsidP="00857C5F">
      <w:pPr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>www.szpital.jaworzno.pl</w:t>
      </w:r>
    </w:p>
    <w:p w14:paraId="62583E6C" w14:textId="77777777" w:rsidR="00FF2B70" w:rsidRPr="00857C5F" w:rsidRDefault="00FF2B70" w:rsidP="00FF2B70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highlight w:val="yellow"/>
          <w:lang w:val="en-US"/>
        </w:rPr>
      </w:pPr>
    </w:p>
    <w:p w14:paraId="6E5FAF24" w14:textId="77777777" w:rsidR="00FF2B70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  <w:r w:rsidRPr="00857C5F">
        <w:rPr>
          <w:rFonts w:asciiTheme="minorHAnsi" w:hAnsiTheme="minorHAnsi" w:cstheme="minorHAnsi"/>
          <w:b/>
          <w:smallCaps/>
          <w:sz w:val="22"/>
          <w:szCs w:val="22"/>
          <w:u w:val="single"/>
          <w:lang w:val="en-US"/>
        </w:rPr>
        <w:t>PEŁNOMOCNIK</w:t>
      </w:r>
      <w:r w:rsidRPr="00857C5F">
        <w:rPr>
          <w:rFonts w:asciiTheme="minorHAnsi" w:hAnsiTheme="minorHAnsi" w:cstheme="minorHAnsi"/>
          <w:b/>
          <w:smallCaps/>
          <w:sz w:val="20"/>
          <w:lang w:val="en-US"/>
        </w:rPr>
        <w:t>:</w:t>
      </w:r>
    </w:p>
    <w:p w14:paraId="5024DA1F" w14:textId="7196D35A" w:rsidR="00857C5F" w:rsidRDefault="00857C5F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Konsorcjum spółek:</w:t>
      </w:r>
    </w:p>
    <w:p w14:paraId="36E36B4D" w14:textId="77777777" w:rsidR="00857C5F" w:rsidRPr="00857C5F" w:rsidRDefault="00857C5F" w:rsidP="00FF2B70">
      <w:pPr>
        <w:jc w:val="center"/>
        <w:rPr>
          <w:rFonts w:ascii="Calibri" w:hAnsi="Calibri" w:cs="Calibri"/>
          <w:sz w:val="20"/>
          <w:szCs w:val="20"/>
        </w:rPr>
      </w:pPr>
    </w:p>
    <w:p w14:paraId="67CEE638" w14:textId="77777777" w:rsidR="00FF2B70" w:rsidRPr="00857C5F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857C5F">
        <w:rPr>
          <w:rFonts w:ascii="Calibri" w:hAnsi="Calibri" w:cs="Calibri"/>
          <w:b/>
          <w:sz w:val="20"/>
          <w:szCs w:val="20"/>
        </w:rPr>
        <w:t>TAMAL Sp. z o.o.</w:t>
      </w:r>
    </w:p>
    <w:p w14:paraId="0762F326" w14:textId="77777777" w:rsidR="00FF2B70" w:rsidRPr="002676ED" w:rsidRDefault="00FF2B70" w:rsidP="00FF2B70">
      <w:pPr>
        <w:jc w:val="center"/>
        <w:rPr>
          <w:rFonts w:ascii="Calibri" w:hAnsi="Calibri" w:cs="Calibri"/>
          <w:bCs/>
          <w:sz w:val="20"/>
          <w:szCs w:val="20"/>
        </w:rPr>
      </w:pPr>
      <w:r w:rsidRPr="002676ED">
        <w:rPr>
          <w:rFonts w:ascii="Calibri" w:hAnsi="Calibri" w:cs="Calibri"/>
          <w:bCs/>
          <w:sz w:val="20"/>
          <w:szCs w:val="20"/>
        </w:rPr>
        <w:t>ul. Stefana Jaracza 6 lok. 4, 00-378 Warszawa</w:t>
      </w:r>
    </w:p>
    <w:p w14:paraId="7A16B57E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tel. 22 828 26 41</w:t>
      </w:r>
    </w:p>
    <w:p w14:paraId="543DA7EC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8" w:history="1">
        <w:r w:rsidRPr="00857C5F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5FDA08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857C5F">
        <w:rPr>
          <w:rFonts w:ascii="Calibri" w:hAnsi="Calibri" w:cs="Calibri"/>
          <w:sz w:val="20"/>
          <w:szCs w:val="20"/>
        </w:rPr>
        <w:t>KNUiFE</w:t>
      </w:r>
      <w:proofErr w:type="spellEnd"/>
      <w:r w:rsidRPr="00857C5F">
        <w:rPr>
          <w:rFonts w:ascii="Calibri" w:hAnsi="Calibri" w:cs="Calibri"/>
          <w:sz w:val="20"/>
          <w:szCs w:val="20"/>
        </w:rPr>
        <w:t xml:space="preserve"> nr 1344/04</w:t>
      </w:r>
    </w:p>
    <w:p w14:paraId="643C41D1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REGON: 015781514     NIP: 525-23-06-468</w:t>
      </w:r>
    </w:p>
    <w:p w14:paraId="76B5D1C1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www.tamal.com.pl</w:t>
      </w:r>
    </w:p>
    <w:p w14:paraId="383CC95B" w14:textId="01E2DDA4" w:rsidR="00FF2B70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Dni i godziny pracy: poniedziałek – piątek 07:00 – 16:00</w:t>
      </w:r>
    </w:p>
    <w:p w14:paraId="21432900" w14:textId="75DFA042" w:rsidR="00857C5F" w:rsidRPr="00857C5F" w:rsidRDefault="00857C5F" w:rsidP="00FF2B70">
      <w:pPr>
        <w:jc w:val="center"/>
        <w:rPr>
          <w:rFonts w:ascii="Calibri" w:hAnsi="Calibri" w:cs="Calibri"/>
          <w:i/>
          <w:sz w:val="20"/>
          <w:szCs w:val="20"/>
          <w:lang w:val="en-US"/>
        </w:rPr>
      </w:pPr>
      <w:proofErr w:type="spellStart"/>
      <w:r w:rsidRPr="00857C5F">
        <w:rPr>
          <w:rFonts w:ascii="Calibri" w:hAnsi="Calibri" w:cs="Calibri"/>
          <w:i/>
          <w:sz w:val="20"/>
          <w:szCs w:val="20"/>
          <w:lang w:val="en-US"/>
        </w:rPr>
        <w:t>oraz</w:t>
      </w:r>
      <w:proofErr w:type="spellEnd"/>
    </w:p>
    <w:p w14:paraId="51D87224" w14:textId="779FB9D9" w:rsidR="002676ED" w:rsidRPr="002676ED" w:rsidRDefault="00857C5F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6006F713" w14:textId="77777777" w:rsid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ul. Piotrkowska 233, 90-456 Łódź, </w:t>
      </w:r>
    </w:p>
    <w:p w14:paraId="3298002D" w14:textId="4AD81E15" w:rsidR="002676ED" w:rsidRPr="002676ED" w:rsidRDefault="002676ED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419C8762" w14:textId="77777777" w:rsidR="00857C5F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1A6427AE" w14:textId="77777777" w:rsidR="002676ED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2C1369B5" w14:textId="77777777" w:rsidR="002676ED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 www.merydian.pl </w:t>
      </w:r>
    </w:p>
    <w:p w14:paraId="1B7C4FED" w14:textId="7FCB04D0" w:rsidR="00857C5F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6D0406BC" w14:textId="77777777" w:rsidR="00BA1DD3" w:rsidRPr="00857C5F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highlight w:val="yellow"/>
        </w:rPr>
      </w:pPr>
    </w:p>
    <w:p w14:paraId="78C8CA5D" w14:textId="77777777" w:rsidR="00BA1DD3" w:rsidRPr="002676ED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2676ED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2676ED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857C5F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  <w:highlight w:val="yellow"/>
        </w:rPr>
      </w:pPr>
    </w:p>
    <w:p w14:paraId="30697C96" w14:textId="0B2617C2" w:rsidR="00BA1DD3" w:rsidRPr="00857C5F" w:rsidRDefault="00BA1DD3" w:rsidP="009B2401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  <w:r w:rsidRPr="009B2401">
        <w:rPr>
          <w:rFonts w:ascii="Calibri" w:hAnsi="Calibri" w:cs="Calibri"/>
          <w:sz w:val="20"/>
          <w:szCs w:val="20"/>
        </w:rPr>
        <w:t>numer sprawy:</w:t>
      </w:r>
      <w:r w:rsidR="00294597" w:rsidRPr="009B2401">
        <w:rPr>
          <w:rFonts w:ascii="Calibri" w:hAnsi="Calibri" w:cs="Calibri"/>
          <w:sz w:val="20"/>
          <w:szCs w:val="20"/>
        </w:rPr>
        <w:t xml:space="preserve"> </w:t>
      </w:r>
      <w:r w:rsidR="009B2401" w:rsidRPr="009B2401">
        <w:rPr>
          <w:rFonts w:ascii="Calibri" w:hAnsi="Calibri" w:cs="Calibri"/>
          <w:sz w:val="20"/>
          <w:szCs w:val="20"/>
        </w:rPr>
        <w:t>SZP.III.240/11/24/P</w:t>
      </w:r>
      <w:r w:rsidR="009B2401">
        <w:rPr>
          <w:rFonts w:ascii="Calibri" w:hAnsi="Calibri" w:cs="Calibri"/>
          <w:sz w:val="20"/>
          <w:szCs w:val="20"/>
        </w:rPr>
        <w:t xml:space="preserve"> </w:t>
      </w:r>
      <w:r w:rsidRPr="009B2401">
        <w:rPr>
          <w:rFonts w:ascii="Calibri" w:hAnsi="Calibri" w:cs="Calibri"/>
          <w:sz w:val="20"/>
          <w:szCs w:val="20"/>
        </w:rPr>
        <w:t>na:</w:t>
      </w:r>
    </w:p>
    <w:p w14:paraId="1B35941E" w14:textId="77777777" w:rsidR="00365AD8" w:rsidRPr="00857C5F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  <w:highlight w:val="yellow"/>
        </w:rPr>
      </w:pPr>
    </w:p>
    <w:p w14:paraId="38E57E3A" w14:textId="77777777" w:rsidR="00FF2B70" w:rsidRPr="00857C5F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  <w:highlight w:val="yellow"/>
        </w:rPr>
      </w:pPr>
    </w:p>
    <w:p w14:paraId="57284718" w14:textId="77777777" w:rsidR="00FF2B70" w:rsidRPr="002676ED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>USŁUGĘ UBEZPIECZENIA</w:t>
      </w:r>
    </w:p>
    <w:p w14:paraId="7AF1F74C" w14:textId="77777777" w:rsidR="002676ED" w:rsidRPr="002676ED" w:rsidRDefault="002676ED" w:rsidP="002676ED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 xml:space="preserve">SAMODZIELNEGO PUBLICZNEGO ZAKŁADU OPIEKI ZDROWOTNEJ </w:t>
      </w:r>
    </w:p>
    <w:p w14:paraId="3ACFA56A" w14:textId="7DD54CD8" w:rsidR="002676ED" w:rsidRPr="002676ED" w:rsidRDefault="002676ED" w:rsidP="002676ED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>– SZPITALA WIELOSPECJALISTYCZNEGO W JAWORZNIE</w:t>
      </w:r>
    </w:p>
    <w:p w14:paraId="1AD10EF2" w14:textId="47347CA1" w:rsidR="00BA1DD3" w:rsidRPr="002676ED" w:rsidRDefault="00AF086C" w:rsidP="00BA1DD3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>(2 CZĘŚCI)</w:t>
      </w:r>
    </w:p>
    <w:p w14:paraId="61372597" w14:textId="77777777" w:rsidR="00BA1DD3" w:rsidRPr="00857C5F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  <w:highlight w:val="yellow"/>
        </w:rPr>
      </w:pPr>
    </w:p>
    <w:p w14:paraId="1BA9FD3B" w14:textId="77777777" w:rsidR="00BA1DD3" w:rsidRPr="002676ED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2676ED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76ED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Pr="002676ED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2676ED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2676ED" w:rsidRDefault="00000000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9" w:history="1">
        <w:r w:rsidR="00AE20F6" w:rsidRPr="002676ED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573E5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488C9D29" w:rsidR="00BA1DD3" w:rsidRPr="00E573E5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E573E5">
        <w:rPr>
          <w:rFonts w:asciiTheme="minorHAnsi" w:hAnsiTheme="minorHAnsi" w:cstheme="minorHAnsi"/>
          <w:b/>
          <w:bCs/>
          <w:sz w:val="20"/>
          <w:szCs w:val="20"/>
        </w:rPr>
        <w:t>Termin składania ofert:</w:t>
      </w:r>
      <w:r w:rsidR="00294597" w:rsidRPr="00E573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0ED4" w:rsidRPr="00E573E5">
        <w:rPr>
          <w:rFonts w:asciiTheme="minorHAnsi" w:hAnsiTheme="minorHAnsi" w:cstheme="minorHAnsi"/>
          <w:sz w:val="20"/>
          <w:szCs w:val="20"/>
        </w:rPr>
        <w:t>1</w:t>
      </w:r>
      <w:r w:rsidR="000D51FB" w:rsidRPr="00E573E5">
        <w:rPr>
          <w:rFonts w:asciiTheme="minorHAnsi" w:hAnsiTheme="minorHAnsi" w:cstheme="minorHAnsi"/>
          <w:sz w:val="20"/>
          <w:szCs w:val="20"/>
        </w:rPr>
        <w:t>8</w:t>
      </w:r>
      <w:r w:rsidR="00C80ED4" w:rsidRPr="00E573E5">
        <w:rPr>
          <w:rFonts w:asciiTheme="minorHAnsi" w:hAnsiTheme="minorHAnsi" w:cstheme="minorHAnsi"/>
          <w:sz w:val="20"/>
          <w:szCs w:val="20"/>
        </w:rPr>
        <w:t>.</w:t>
      </w:r>
      <w:r w:rsidR="009610E7" w:rsidRPr="00E573E5">
        <w:rPr>
          <w:rFonts w:asciiTheme="minorHAnsi" w:hAnsiTheme="minorHAnsi" w:cstheme="minorHAnsi"/>
          <w:sz w:val="20"/>
          <w:szCs w:val="20"/>
        </w:rPr>
        <w:t>03</w:t>
      </w:r>
      <w:r w:rsidR="00C80ED4" w:rsidRPr="00E573E5">
        <w:rPr>
          <w:rFonts w:asciiTheme="minorHAnsi" w:hAnsiTheme="minorHAnsi" w:cstheme="minorHAnsi"/>
          <w:sz w:val="20"/>
          <w:szCs w:val="20"/>
        </w:rPr>
        <w:t>.</w:t>
      </w:r>
      <w:r w:rsidR="00EF76A0" w:rsidRPr="00E573E5">
        <w:rPr>
          <w:rFonts w:asciiTheme="minorHAnsi" w:hAnsiTheme="minorHAnsi" w:cstheme="minorHAnsi"/>
          <w:sz w:val="20"/>
          <w:szCs w:val="20"/>
        </w:rPr>
        <w:t>202</w:t>
      </w:r>
      <w:r w:rsidR="009610E7" w:rsidRPr="00E573E5">
        <w:rPr>
          <w:rFonts w:asciiTheme="minorHAnsi" w:hAnsiTheme="minorHAnsi" w:cstheme="minorHAnsi"/>
          <w:sz w:val="20"/>
          <w:szCs w:val="20"/>
        </w:rPr>
        <w:t>4</w:t>
      </w:r>
      <w:r w:rsidR="00013052" w:rsidRPr="00E573E5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E573E5">
        <w:rPr>
          <w:rFonts w:asciiTheme="minorHAnsi" w:hAnsiTheme="minorHAnsi" w:cstheme="minorHAnsi"/>
          <w:sz w:val="20"/>
          <w:szCs w:val="20"/>
        </w:rPr>
        <w:t>r</w:t>
      </w:r>
      <w:r w:rsidRPr="00E573E5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EF76A0" w:rsidRPr="00E573E5">
        <w:rPr>
          <w:rFonts w:asciiTheme="minorHAnsi" w:hAnsiTheme="minorHAnsi" w:cstheme="minorHAnsi"/>
          <w:sz w:val="20"/>
          <w:szCs w:val="20"/>
        </w:rPr>
        <w:t>1</w:t>
      </w:r>
      <w:r w:rsidR="00FF3FD5" w:rsidRPr="00E573E5">
        <w:rPr>
          <w:rFonts w:asciiTheme="minorHAnsi" w:hAnsiTheme="minorHAnsi" w:cstheme="minorHAnsi"/>
          <w:sz w:val="20"/>
          <w:szCs w:val="20"/>
        </w:rPr>
        <w:t>1</w:t>
      </w:r>
      <w:r w:rsidR="00EF76A0" w:rsidRPr="00E573E5">
        <w:rPr>
          <w:rFonts w:asciiTheme="minorHAnsi" w:hAnsiTheme="minorHAnsi" w:cstheme="minorHAnsi"/>
          <w:sz w:val="20"/>
          <w:szCs w:val="20"/>
        </w:rPr>
        <w:t>:00</w:t>
      </w:r>
      <w:r w:rsidRPr="00E573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3708E6" w14:textId="00707924" w:rsidR="00BA1DD3" w:rsidRPr="00E573E5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E573E5">
        <w:rPr>
          <w:rFonts w:asciiTheme="minorHAnsi" w:hAnsiTheme="minorHAnsi" w:cstheme="minorHAnsi"/>
          <w:b/>
          <w:bCs/>
          <w:sz w:val="20"/>
          <w:szCs w:val="20"/>
        </w:rPr>
        <w:t xml:space="preserve">Termin otwarcia ofert: </w:t>
      </w:r>
      <w:r w:rsidR="00C80ED4" w:rsidRPr="00E573E5">
        <w:rPr>
          <w:rFonts w:asciiTheme="minorHAnsi" w:hAnsiTheme="minorHAnsi" w:cstheme="minorHAnsi"/>
          <w:sz w:val="20"/>
          <w:szCs w:val="20"/>
        </w:rPr>
        <w:t>1</w:t>
      </w:r>
      <w:r w:rsidR="000D51FB" w:rsidRPr="00E573E5">
        <w:rPr>
          <w:rFonts w:asciiTheme="minorHAnsi" w:hAnsiTheme="minorHAnsi" w:cstheme="minorHAnsi"/>
          <w:sz w:val="20"/>
          <w:szCs w:val="20"/>
        </w:rPr>
        <w:t>8</w:t>
      </w:r>
      <w:r w:rsidR="00C80ED4" w:rsidRPr="00E573E5">
        <w:rPr>
          <w:rFonts w:asciiTheme="minorHAnsi" w:hAnsiTheme="minorHAnsi" w:cstheme="minorHAnsi"/>
          <w:sz w:val="20"/>
          <w:szCs w:val="20"/>
        </w:rPr>
        <w:t>.</w:t>
      </w:r>
      <w:r w:rsidR="009610E7" w:rsidRPr="00E573E5">
        <w:rPr>
          <w:rFonts w:asciiTheme="minorHAnsi" w:hAnsiTheme="minorHAnsi" w:cstheme="minorHAnsi"/>
          <w:sz w:val="20"/>
          <w:szCs w:val="20"/>
        </w:rPr>
        <w:t>03</w:t>
      </w:r>
      <w:r w:rsidR="00C80ED4" w:rsidRPr="00E573E5">
        <w:rPr>
          <w:rFonts w:asciiTheme="minorHAnsi" w:hAnsiTheme="minorHAnsi" w:cstheme="minorHAnsi"/>
          <w:sz w:val="20"/>
          <w:szCs w:val="20"/>
        </w:rPr>
        <w:t>.</w:t>
      </w:r>
      <w:r w:rsidR="00EF76A0" w:rsidRPr="00E573E5">
        <w:rPr>
          <w:rFonts w:asciiTheme="minorHAnsi" w:hAnsiTheme="minorHAnsi" w:cstheme="minorHAnsi"/>
          <w:sz w:val="20"/>
          <w:szCs w:val="20"/>
        </w:rPr>
        <w:t>202</w:t>
      </w:r>
      <w:r w:rsidR="009610E7" w:rsidRPr="00E573E5">
        <w:rPr>
          <w:rFonts w:asciiTheme="minorHAnsi" w:hAnsiTheme="minorHAnsi" w:cstheme="minorHAnsi"/>
          <w:sz w:val="20"/>
          <w:szCs w:val="20"/>
        </w:rPr>
        <w:t>4</w:t>
      </w:r>
      <w:r w:rsidR="00013052" w:rsidRPr="00E573E5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E573E5">
        <w:rPr>
          <w:rFonts w:asciiTheme="minorHAnsi" w:hAnsiTheme="minorHAnsi" w:cstheme="minorHAnsi"/>
          <w:sz w:val="20"/>
          <w:szCs w:val="20"/>
        </w:rPr>
        <w:t>r.</w:t>
      </w:r>
      <w:r w:rsidRPr="00E573E5">
        <w:rPr>
          <w:rFonts w:asciiTheme="minorHAnsi" w:hAnsiTheme="minorHAnsi" w:cstheme="minorHAnsi"/>
          <w:sz w:val="20"/>
          <w:szCs w:val="20"/>
        </w:rPr>
        <w:t xml:space="preserve"> o godz. </w:t>
      </w:r>
      <w:r w:rsidR="00EF76A0" w:rsidRPr="00E573E5">
        <w:rPr>
          <w:rFonts w:asciiTheme="minorHAnsi" w:hAnsiTheme="minorHAnsi" w:cstheme="minorHAnsi"/>
          <w:sz w:val="20"/>
          <w:szCs w:val="20"/>
        </w:rPr>
        <w:t>1</w:t>
      </w:r>
      <w:r w:rsidR="00FF3FD5" w:rsidRPr="00E573E5">
        <w:rPr>
          <w:rFonts w:asciiTheme="minorHAnsi" w:hAnsiTheme="minorHAnsi" w:cstheme="minorHAnsi"/>
          <w:sz w:val="20"/>
          <w:szCs w:val="20"/>
        </w:rPr>
        <w:t>1</w:t>
      </w:r>
      <w:r w:rsidR="00EF76A0" w:rsidRPr="00E573E5">
        <w:rPr>
          <w:rFonts w:asciiTheme="minorHAnsi" w:hAnsiTheme="minorHAnsi" w:cstheme="minorHAnsi"/>
          <w:sz w:val="20"/>
          <w:szCs w:val="20"/>
        </w:rPr>
        <w:t>:</w:t>
      </w:r>
      <w:r w:rsidR="00FF3FD5" w:rsidRPr="00E573E5">
        <w:rPr>
          <w:rFonts w:asciiTheme="minorHAnsi" w:hAnsiTheme="minorHAnsi" w:cstheme="minorHAnsi"/>
          <w:sz w:val="20"/>
          <w:szCs w:val="20"/>
        </w:rPr>
        <w:t>1</w:t>
      </w:r>
      <w:r w:rsidR="00AF086C" w:rsidRPr="00E573E5">
        <w:rPr>
          <w:rFonts w:asciiTheme="minorHAnsi" w:hAnsiTheme="minorHAnsi" w:cstheme="minorHAnsi"/>
          <w:sz w:val="20"/>
          <w:szCs w:val="20"/>
        </w:rPr>
        <w:t>0</w:t>
      </w:r>
    </w:p>
    <w:p w14:paraId="3B5D50C6" w14:textId="77777777" w:rsidR="00BA1DD3" w:rsidRPr="00E573E5" w:rsidRDefault="00BA1DD3" w:rsidP="00BA1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F0D2E87" w14:textId="77777777" w:rsidR="00AA253A" w:rsidRPr="00E573E5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</w:rPr>
      </w:pPr>
    </w:p>
    <w:p w14:paraId="620D7971" w14:textId="6DC35170" w:rsidR="00BA1DD3" w:rsidRPr="00857C5F" w:rsidRDefault="000D51FB" w:rsidP="002676ED">
      <w:pPr>
        <w:jc w:val="both"/>
        <w:rPr>
          <w:rFonts w:ascii="Calibri" w:hAnsi="Calibri" w:cs="Calibri"/>
          <w:b/>
          <w:highlight w:val="yellow"/>
        </w:rPr>
      </w:pPr>
      <w:r w:rsidRPr="00E573E5">
        <w:rPr>
          <w:rFonts w:asciiTheme="minorHAnsi" w:hAnsiTheme="minorHAnsi" w:cstheme="minorHAnsi"/>
          <w:sz w:val="20"/>
          <w:szCs w:val="20"/>
        </w:rPr>
        <w:t>Jaworzno</w:t>
      </w:r>
      <w:r w:rsidR="007B1E70" w:rsidRPr="00E573E5">
        <w:rPr>
          <w:rFonts w:asciiTheme="minorHAnsi" w:hAnsiTheme="minorHAnsi" w:cstheme="minorHAnsi"/>
          <w:sz w:val="20"/>
          <w:szCs w:val="20"/>
        </w:rPr>
        <w:t>,</w:t>
      </w:r>
      <w:r w:rsidR="00BA1DD3" w:rsidRPr="00E573E5">
        <w:rPr>
          <w:rFonts w:asciiTheme="minorHAnsi" w:hAnsiTheme="minorHAnsi" w:cstheme="minorHAnsi"/>
          <w:sz w:val="20"/>
          <w:szCs w:val="20"/>
        </w:rPr>
        <w:t xml:space="preserve"> dnia</w:t>
      </w:r>
      <w:r w:rsidR="00204DE3" w:rsidRPr="00E573E5">
        <w:rPr>
          <w:rFonts w:asciiTheme="minorHAnsi" w:hAnsiTheme="minorHAnsi" w:cstheme="minorHAnsi"/>
          <w:sz w:val="20"/>
          <w:szCs w:val="20"/>
        </w:rPr>
        <w:t xml:space="preserve"> </w:t>
      </w:r>
      <w:r w:rsidRPr="00E573E5">
        <w:rPr>
          <w:rFonts w:asciiTheme="minorHAnsi" w:hAnsiTheme="minorHAnsi" w:cstheme="minorHAnsi"/>
          <w:sz w:val="20"/>
          <w:szCs w:val="20"/>
        </w:rPr>
        <w:t>08.03.2024</w:t>
      </w:r>
      <w:r w:rsidR="009610E7" w:rsidRPr="00E573E5">
        <w:rPr>
          <w:rFonts w:asciiTheme="minorHAnsi" w:hAnsiTheme="minorHAnsi" w:cstheme="minorHAnsi"/>
          <w:sz w:val="20"/>
          <w:szCs w:val="20"/>
        </w:rPr>
        <w:t xml:space="preserve"> 2024</w:t>
      </w:r>
      <w:r w:rsidR="00EF76A0" w:rsidRPr="00E573E5">
        <w:rPr>
          <w:rFonts w:asciiTheme="minorHAnsi" w:hAnsiTheme="minorHAnsi" w:cstheme="minorHAnsi"/>
          <w:sz w:val="20"/>
          <w:szCs w:val="20"/>
        </w:rPr>
        <w:t>r.</w:t>
      </w:r>
      <w:r w:rsidR="00BA1DD3" w:rsidRPr="00E573E5">
        <w:rPr>
          <w:rFonts w:asciiTheme="minorHAnsi" w:hAnsiTheme="minorHAnsi" w:cstheme="minorHAnsi"/>
          <w:sz w:val="20"/>
          <w:szCs w:val="20"/>
        </w:rPr>
        <w:tab/>
      </w:r>
      <w:r w:rsidR="00BA1DD3" w:rsidRPr="00E573E5">
        <w:rPr>
          <w:rFonts w:asciiTheme="minorHAnsi" w:hAnsiTheme="minorHAnsi" w:cstheme="minorHAnsi"/>
          <w:sz w:val="20"/>
          <w:szCs w:val="20"/>
        </w:rPr>
        <w:br w:type="page"/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lastRenderedPageBreak/>
        <w:t xml:space="preserve">Zamawiający zaprasza do wzięcia udziału w postępowaniu o udzielenie zamówienia publicznego na usługę ubezpieczenia </w:t>
      </w:r>
      <w:r w:rsidR="00B01770" w:rsidRPr="00B01770">
        <w:rPr>
          <w:rFonts w:asciiTheme="minorHAnsi" w:hAnsiTheme="minorHAnsi"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="00B01770" w:rsidRPr="002676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1E70" w:rsidRPr="002676ED">
        <w:rPr>
          <w:rFonts w:asciiTheme="minorHAnsi" w:hAnsiTheme="minorHAnsi" w:cstheme="minorHAnsi"/>
          <w:b/>
          <w:sz w:val="20"/>
          <w:szCs w:val="20"/>
        </w:rPr>
        <w:t>(</w:t>
      </w:r>
      <w:r w:rsidR="00AF086C" w:rsidRPr="002676ED">
        <w:rPr>
          <w:rFonts w:asciiTheme="minorHAnsi" w:hAnsiTheme="minorHAnsi" w:cstheme="minorHAnsi"/>
          <w:b/>
          <w:sz w:val="20"/>
          <w:szCs w:val="20"/>
        </w:rPr>
        <w:t>2</w:t>
      </w:r>
      <w:r w:rsidR="007B1E70" w:rsidRPr="002676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2676E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2676ED">
        <w:rPr>
          <w:rFonts w:asciiTheme="minorHAnsi" w:hAnsiTheme="minorHAnsi" w:cstheme="minorHAnsi"/>
          <w:bCs/>
          <w:sz w:val="20"/>
          <w:szCs w:val="20"/>
        </w:rPr>
        <w:t>). Postępowanie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 Prawo zamówień publicznych (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22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1710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 podstawowym bez negocjacji</w:t>
      </w:r>
      <w:r w:rsidR="00C5099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2676ED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zamówienia nieprzekraczającej 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7C5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  <w:highlight w:val="yellow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  <w:highlight w:val="yellow"/>
        </w:rPr>
      </w:sdtEndPr>
      <w:sdtContent>
        <w:p w14:paraId="08D859DE" w14:textId="447AFF84" w:rsidR="002B6C06" w:rsidRPr="002676E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2676E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2676E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2676E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2676E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2676E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5F7FED67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6A0D2A96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2676ED" w:rsidRDefault="00000000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2676ED" w:rsidRDefault="00000000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2676ED" w:rsidRDefault="00000000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857C5F" w:rsidRDefault="002B6C06">
          <w:pPr>
            <w:rPr>
              <w:rFonts w:asciiTheme="minorHAnsi" w:hAnsiTheme="minorHAnsi" w:cstheme="minorHAnsi"/>
              <w:sz w:val="22"/>
              <w:szCs w:val="22"/>
              <w:highlight w:val="yellow"/>
            </w:rPr>
          </w:pPr>
          <w:r w:rsidRPr="002676E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857C5F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highlight w:val="yellow"/>
          <w:u w:val="single"/>
        </w:rPr>
      </w:pPr>
    </w:p>
    <w:p w14:paraId="56ABC549" w14:textId="77777777" w:rsidR="00BA1DD3" w:rsidRPr="00DA29A7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DA29A7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1C879659" w14:textId="6420C051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="004C2C83">
        <w:rPr>
          <w:rFonts w:asciiTheme="minorHAnsi" w:hAnsiTheme="minorHAnsi" w:cstheme="minorHAnsi"/>
          <w:sz w:val="20"/>
          <w:szCs w:val="20"/>
        </w:rPr>
        <w:t xml:space="preserve">     </w:t>
      </w:r>
      <w:r w:rsidRPr="00DA29A7">
        <w:rPr>
          <w:rFonts w:asciiTheme="minorHAnsi" w:hAnsiTheme="minorHAnsi" w:cstheme="minorHAnsi"/>
          <w:sz w:val="20"/>
          <w:szCs w:val="20"/>
        </w:rPr>
        <w:t>Charakterystyka Zamawiającego</w:t>
      </w:r>
    </w:p>
    <w:p w14:paraId="189F92C0" w14:textId="2C9C55C3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1a    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</w:t>
      </w:r>
      <w:r w:rsidR="00DA29A7" w:rsidRPr="00DA29A7">
        <w:rPr>
          <w:rFonts w:asciiTheme="minorHAnsi" w:hAnsiTheme="minorHAnsi" w:cstheme="minorHAnsi"/>
          <w:sz w:val="20"/>
          <w:szCs w:val="20"/>
        </w:rPr>
        <w:t>Mapa</w:t>
      </w:r>
      <w:r w:rsidRPr="00DA29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F36570" w14:textId="31F4E9B1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2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="004C2C83">
        <w:rPr>
          <w:rFonts w:asciiTheme="minorHAnsi" w:hAnsiTheme="minorHAnsi" w:cstheme="minorHAnsi"/>
          <w:sz w:val="20"/>
          <w:szCs w:val="20"/>
        </w:rPr>
        <w:t xml:space="preserve">      </w:t>
      </w:r>
      <w:r w:rsidRPr="00DA29A7">
        <w:rPr>
          <w:rFonts w:asciiTheme="minorHAnsi" w:hAnsiTheme="minorHAnsi" w:cstheme="minorHAnsi"/>
          <w:sz w:val="20"/>
          <w:szCs w:val="20"/>
        </w:rPr>
        <w:t>Opis Przedmiotu Zamówienia (dalej OPZ)</w:t>
      </w:r>
    </w:p>
    <w:p w14:paraId="7887583E" w14:textId="3869C3A4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2a   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 xml:space="preserve">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Szkodowość mienie</w:t>
      </w:r>
    </w:p>
    <w:p w14:paraId="7B514B90" w14:textId="0470D1A2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2b   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Szkodowość OC</w:t>
      </w:r>
    </w:p>
    <w:p w14:paraId="5D2D2EA4" w14:textId="3C0E1CBA" w:rsidR="00DA29A7" w:rsidRPr="00DA29A7" w:rsidRDefault="00DA29A7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2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29A7">
        <w:rPr>
          <w:rFonts w:asciiTheme="minorHAnsi" w:hAnsiTheme="minorHAnsi" w:cstheme="minorHAnsi"/>
          <w:sz w:val="20"/>
          <w:szCs w:val="20"/>
        </w:rPr>
        <w:t xml:space="preserve">  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 xml:space="preserve">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 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>Wykaz sprzętu do ubezpieczenia sprzętu elektronicznego od wszystkich ryzyk</w:t>
      </w:r>
    </w:p>
    <w:p w14:paraId="6622F1F4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3a     –       Wzór umowy dla Części 1</w:t>
      </w:r>
    </w:p>
    <w:p w14:paraId="65A91AFE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3b     – </w:t>
      </w:r>
      <w:r w:rsidRPr="00DA29A7">
        <w:rPr>
          <w:rFonts w:asciiTheme="minorHAnsi" w:hAnsiTheme="minorHAnsi" w:cstheme="minorHAnsi"/>
          <w:sz w:val="20"/>
          <w:szCs w:val="20"/>
        </w:rPr>
        <w:tab/>
        <w:t>Wzór umowy dla Części 2</w:t>
      </w:r>
    </w:p>
    <w:p w14:paraId="2059BBA0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DA29A7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2D7FA91D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DA29A7">
        <w:rPr>
          <w:rFonts w:asciiTheme="minorHAnsi" w:hAnsiTheme="minorHAnsi" w:cstheme="minorHAnsi"/>
          <w:sz w:val="20"/>
          <w:szCs w:val="20"/>
        </w:rPr>
        <w:tab/>
        <w:t>Oświadczenie wstępne</w:t>
      </w:r>
    </w:p>
    <w:p w14:paraId="15879C06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6a</w:t>
      </w:r>
      <w:r w:rsidRPr="00DA29A7">
        <w:rPr>
          <w:rFonts w:asciiTheme="minorHAnsi" w:hAnsiTheme="minorHAnsi" w:cstheme="minorHAnsi"/>
          <w:sz w:val="20"/>
          <w:szCs w:val="20"/>
        </w:rPr>
        <w:tab/>
        <w:t>–</w:t>
      </w:r>
      <w:r w:rsidRPr="00DA29A7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0E794788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6b</w:t>
      </w:r>
      <w:r w:rsidRPr="00DA29A7">
        <w:rPr>
          <w:rFonts w:asciiTheme="minorHAnsi" w:hAnsiTheme="minorHAnsi" w:cstheme="minorHAnsi"/>
          <w:sz w:val="20"/>
          <w:szCs w:val="20"/>
        </w:rPr>
        <w:tab/>
        <w:t>–</w:t>
      </w:r>
      <w:r w:rsidRPr="00DA29A7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Pr="00DA29A7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7</w:t>
      </w:r>
      <w:r w:rsidRPr="00DA29A7">
        <w:rPr>
          <w:rFonts w:asciiTheme="minorHAnsi" w:hAnsiTheme="minorHAnsi" w:cstheme="minorHAnsi"/>
          <w:sz w:val="20"/>
          <w:szCs w:val="20"/>
        </w:rPr>
        <w:tab/>
        <w:t>–</w:t>
      </w:r>
      <w:r w:rsidRPr="00DA29A7">
        <w:rPr>
          <w:rFonts w:asciiTheme="minorHAnsi" w:hAnsiTheme="minorHAnsi" w:cstheme="minorHAnsi"/>
          <w:sz w:val="20"/>
          <w:szCs w:val="20"/>
        </w:rPr>
        <w:tab/>
      </w:r>
      <w:r w:rsidR="00F50F04" w:rsidRPr="00DA29A7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857C5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F2D017E" w14:textId="77777777" w:rsidR="00BA1DD3" w:rsidRPr="00857C5F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  <w:highlight w:val="yellow"/>
        </w:rPr>
      </w:pPr>
    </w:p>
    <w:p w14:paraId="59764818" w14:textId="1CFE64CD" w:rsidR="00BA1DD3" w:rsidRPr="002676E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6396630"/>
      <w:r w:rsidRPr="002676E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278E3FA0" w14:textId="77777777" w:rsidR="002676ED" w:rsidRDefault="00FF2B70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bookmarkStart w:id="1" w:name="_Hlk86391929"/>
      <w:r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Nazwa: </w:t>
      </w:r>
      <w:r w:rsidR="002676ED"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SAMODZIELNY PUBLICZNY ZAKŁAD OPIEKI ZDROWOTNEJ – SZPITAL WIELOSPECJALISTYCZNY W JAWORZNIE</w:t>
      </w:r>
    </w:p>
    <w:p w14:paraId="6C12BFA7" w14:textId="77777777" w:rsid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6553B2DB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ul. Józefa Chełmońskiego 28</w:t>
      </w:r>
    </w:p>
    <w:p w14:paraId="53DD214F" w14:textId="57016F9F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43-600 Jaworzno</w:t>
      </w:r>
    </w:p>
    <w:p w14:paraId="30E47A09" w14:textId="172B9B05" w:rsidR="006539CF" w:rsidRPr="002676ED" w:rsidRDefault="006539CF" w:rsidP="00BB142C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0F802E77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tel. 32 6164482 </w:t>
      </w:r>
    </w:p>
    <w:p w14:paraId="3032F84D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PKD:  8610,</w:t>
      </w:r>
    </w:p>
    <w:p w14:paraId="138BC417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REGON: 270641184 </w:t>
      </w:r>
    </w:p>
    <w:p w14:paraId="43835197" w14:textId="2E6C8089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NIP: 6321753077</w:t>
      </w:r>
    </w:p>
    <w:p w14:paraId="1FDDD6D7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KRS: 000000013783</w:t>
      </w:r>
    </w:p>
    <w:p w14:paraId="1C87A670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e-mail: sekretariat@szpital.jaworzno.pl</w:t>
      </w:r>
    </w:p>
    <w:p w14:paraId="1B08D03C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www.szpital.jaworzno.pl</w:t>
      </w:r>
    </w:p>
    <w:p w14:paraId="3C295474" w14:textId="77777777" w:rsidR="002676ED" w:rsidRPr="00857C5F" w:rsidRDefault="002676ED" w:rsidP="002676ED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highlight w:val="yellow"/>
          <w:lang w:val="en-US"/>
        </w:rPr>
      </w:pPr>
    </w:p>
    <w:p w14:paraId="32BF3DE0" w14:textId="58A12376" w:rsidR="00FF2B70" w:rsidRPr="00147098" w:rsidRDefault="00FF2B70" w:rsidP="00FF2B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</w:t>
      </w:r>
      <w:r w:rsidR="002676ED" w:rsidRPr="001470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konsorcjum spółek:</w:t>
      </w:r>
    </w:p>
    <w:p w14:paraId="6DB57E7B" w14:textId="77777777" w:rsidR="00FF2B70" w:rsidRPr="00147098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441792C4" w14:textId="22BC5649" w:rsidR="00FF2B70" w:rsidRPr="00147098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>ul. Stefana Jaracza 6 lok. 4</w:t>
      </w:r>
      <w:r w:rsidR="00147098" w:rsidRPr="00147098">
        <w:rPr>
          <w:rFonts w:ascii="Calibri" w:hAnsi="Calibri" w:cs="Calibri"/>
          <w:b/>
          <w:sz w:val="20"/>
          <w:szCs w:val="20"/>
        </w:rPr>
        <w:t xml:space="preserve">, </w:t>
      </w:r>
      <w:r w:rsidRPr="00147098">
        <w:rPr>
          <w:rFonts w:ascii="Calibri" w:hAnsi="Calibri" w:cs="Calibri"/>
          <w:b/>
          <w:sz w:val="20"/>
          <w:szCs w:val="20"/>
        </w:rPr>
        <w:t>00-378 Warszawa</w:t>
      </w:r>
    </w:p>
    <w:p w14:paraId="47576C42" w14:textId="77777777" w:rsidR="00147098" w:rsidRPr="00147098" w:rsidRDefault="00147098" w:rsidP="00147098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7FE0EAAD" w14:textId="77777777" w:rsidR="00147098" w:rsidRPr="00147098" w:rsidRDefault="00147098" w:rsidP="00147098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297F2B8" w14:textId="77777777" w:rsidR="00147098" w:rsidRPr="00147098" w:rsidRDefault="00147098" w:rsidP="00147098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4A47710F" w14:textId="77777777" w:rsidR="00147098" w:rsidRPr="00147098" w:rsidRDefault="00147098" w:rsidP="00147098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5E92F896" w14:textId="77777777" w:rsidR="00147098" w:rsidRPr="00147098" w:rsidRDefault="00147098" w:rsidP="00FF2B70">
      <w:pPr>
        <w:rPr>
          <w:rFonts w:ascii="Calibri" w:hAnsi="Calibri" w:cs="Calibri"/>
          <w:b/>
          <w:sz w:val="20"/>
          <w:szCs w:val="20"/>
        </w:rPr>
      </w:pPr>
    </w:p>
    <w:p w14:paraId="4000E004" w14:textId="77777777" w:rsidR="0097590B" w:rsidRPr="00857C5F" w:rsidRDefault="0097590B" w:rsidP="009834DD">
      <w:pPr>
        <w:rPr>
          <w:rFonts w:ascii="Calibri" w:hAnsi="Calibri" w:cs="Calibri"/>
          <w:bCs/>
          <w:sz w:val="20"/>
          <w:szCs w:val="20"/>
          <w:highlight w:val="yellow"/>
        </w:rPr>
      </w:pPr>
    </w:p>
    <w:bookmarkEnd w:id="1"/>
    <w:p w14:paraId="75367CDF" w14:textId="77777777" w:rsidR="00B75343" w:rsidRPr="002676ED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2676ED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86396631"/>
      <w:r w:rsidRPr="002676E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2"/>
    </w:p>
    <w:p w14:paraId="4F53A1C4" w14:textId="77777777" w:rsidR="004A33BF" w:rsidRPr="002676ED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2676ED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2676ED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2676ED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2676ED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2676ED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lastRenderedPageBreak/>
        <w:t>tel./fax: 22 828 26 41</w:t>
      </w:r>
    </w:p>
    <w:p w14:paraId="2AA1384D" w14:textId="77777777" w:rsidR="005013CC" w:rsidRPr="002676ED" w:rsidRDefault="005013CC" w:rsidP="005013CC">
      <w:pPr>
        <w:rPr>
          <w:rFonts w:ascii="Calibri" w:hAnsi="Calibri" w:cs="Calibri"/>
          <w:i/>
          <w:sz w:val="20"/>
          <w:szCs w:val="20"/>
          <w:lang w:val="pt-BR"/>
        </w:rPr>
      </w:pPr>
      <w:r w:rsidRPr="002676ED">
        <w:rPr>
          <w:rFonts w:ascii="Calibri" w:hAnsi="Calibri" w:cs="Calibri"/>
          <w:sz w:val="20"/>
          <w:szCs w:val="20"/>
          <w:lang w:val="pt-BR"/>
        </w:rPr>
        <w:t xml:space="preserve">e-mail: </w:t>
      </w:r>
      <w:r>
        <w:fldChar w:fldCharType="begin"/>
      </w:r>
      <w:r>
        <w:instrText>HYPERLINK "mailto:biuro@tamal.com.pl"</w:instrText>
      </w:r>
      <w:r>
        <w:fldChar w:fldCharType="separate"/>
      </w:r>
      <w:r w:rsidRPr="002676ED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6E3D6983" w14:textId="77777777" w:rsidR="002676ED" w:rsidRPr="002676ED" w:rsidRDefault="002676ED" w:rsidP="005013CC">
      <w:pPr>
        <w:rPr>
          <w:rFonts w:ascii="Calibri" w:hAnsi="Calibri" w:cs="Calibri"/>
          <w:sz w:val="20"/>
          <w:szCs w:val="20"/>
          <w:lang w:val="pt-BR"/>
        </w:rPr>
      </w:pPr>
    </w:p>
    <w:p w14:paraId="05F9B9CB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2676ED">
        <w:rPr>
          <w:rFonts w:ascii="Calibri" w:hAnsi="Calibri" w:cs="Calibri"/>
          <w:sz w:val="20"/>
          <w:szCs w:val="20"/>
        </w:rPr>
        <w:t>KNUiFE</w:t>
      </w:r>
      <w:proofErr w:type="spellEnd"/>
      <w:r w:rsidRPr="002676ED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www.tamal.com.pl</w:t>
      </w:r>
    </w:p>
    <w:p w14:paraId="10EE5FEC" w14:textId="22B47D25" w:rsidR="00BA1DD3" w:rsidRPr="002676ED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2676ED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1FB73910" w14:textId="77777777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564786E9" w14:textId="5B19BC6D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636839F4" w14:textId="77777777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2EC7B1EC" w14:textId="77777777" w:rsidR="002676ED" w:rsidRPr="002676ED" w:rsidRDefault="002676ED" w:rsidP="002676E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3E017E21" w14:textId="77777777" w:rsidR="002676ED" w:rsidRPr="002676ED" w:rsidRDefault="002676ED" w:rsidP="002676E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5A509832" w14:textId="77777777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60EB98B1" w14:textId="77777777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7C27F134" w14:textId="77777777" w:rsidR="004C2C83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45C055FA" w14:textId="235D4091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www.merydian.pl </w:t>
      </w:r>
    </w:p>
    <w:p w14:paraId="7EAF2B23" w14:textId="77777777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680C80FC" w14:textId="77777777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1B135B6" w14:textId="6FBB4411" w:rsidR="00B75343" w:rsidRPr="00857C5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  <w:lang w:eastAsia="pl-PL"/>
        </w:rPr>
      </w:pPr>
    </w:p>
    <w:p w14:paraId="7E2F2CBE" w14:textId="77777777" w:rsidR="00B75343" w:rsidRPr="00857C5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6396632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3"/>
    </w:p>
    <w:p w14:paraId="41592EDD" w14:textId="77777777" w:rsidR="00B552A2" w:rsidRPr="00B01770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B01770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B01770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B01770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B01770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których mowa w art. 94 ustawy PZP. </w:t>
      </w:r>
    </w:p>
    <w:p w14:paraId="1A4F634C" w14:textId="77777777" w:rsidR="00717751" w:rsidRPr="00B01770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B01770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4AF52550" w14:textId="77777777" w:rsidR="00B75343" w:rsidRPr="00B01770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B01770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3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4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B01770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16476BE" w14:textId="206379A7" w:rsidR="00B96E57" w:rsidRPr="00B01770" w:rsidRDefault="00BA1DD3" w:rsidP="00B017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B01770" w:rsidRPr="00B01770">
        <w:rPr>
          <w:rFonts w:asciiTheme="minorHAnsi" w:hAnsiTheme="minorHAnsi"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385BBE65" w14:textId="77777777" w:rsidR="00B01770" w:rsidRPr="00B01770" w:rsidRDefault="00B01770" w:rsidP="00B01770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1F764A43" w14:textId="77777777" w:rsidR="00F93901" w:rsidRPr="00B01770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sz w:val="20"/>
          <w:szCs w:val="20"/>
        </w:rPr>
        <w:t xml:space="preserve">  CZĘŚĆ 1 UBEZPIECZENIE ODPOWIEDZIALNOŚCI CYWILNEJ</w:t>
      </w:r>
    </w:p>
    <w:p w14:paraId="16BA16A7" w14:textId="77777777" w:rsidR="00B01770" w:rsidRPr="00B01770" w:rsidRDefault="00B01770" w:rsidP="00B01770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7C03CADF" w14:textId="77777777" w:rsidR="00B01770" w:rsidRPr="00B01770" w:rsidRDefault="00B01770" w:rsidP="00B01770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388AD4C8" w14:textId="77777777" w:rsidR="00B01770" w:rsidRPr="00B01770" w:rsidRDefault="00B01770" w:rsidP="00B01770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Dobrowolne ubezpieczenie odpowiedzialności cywilnej z tytułu prowadzonej działalności i posiadania mienia</w:t>
      </w:r>
    </w:p>
    <w:p w14:paraId="74C03A41" w14:textId="77777777" w:rsidR="00F93901" w:rsidRPr="00B01770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D87D896" w14:textId="77777777" w:rsidR="00F93901" w:rsidRPr="00B01770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ab/>
      </w:r>
      <w:r w:rsidRPr="00B01770">
        <w:rPr>
          <w:rFonts w:asciiTheme="minorHAnsi" w:hAnsiTheme="minorHAnsi" w:cstheme="minorHAnsi"/>
          <w:b/>
          <w:bCs/>
          <w:sz w:val="20"/>
          <w:szCs w:val="20"/>
        </w:rPr>
        <w:t>CZĘŚĆ 2: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t>Ubezpieczenie mienia od wszystkich ryzyk</w:t>
      </w:r>
    </w:p>
    <w:p w14:paraId="783B052F" w14:textId="0AE82113" w:rsidR="009610E7" w:rsidRPr="00B01770" w:rsidRDefault="009610E7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sz w:val="20"/>
          <w:szCs w:val="20"/>
          <w:lang w:eastAsia="pl-PL"/>
        </w:rPr>
        <w:t>Ubezpieczenie sprzętu elektronicznego od wszystkich ryzyk</w:t>
      </w:r>
    </w:p>
    <w:p w14:paraId="52F47D80" w14:textId="77777777" w:rsidR="00F93901" w:rsidRPr="00B01770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87F698D" w14:textId="77777777" w:rsidR="00F93901" w:rsidRPr="00B01770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59926276"/>
      <w:r w:rsidRPr="00B01770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B01770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ab/>
      </w:r>
      <w:r w:rsidRPr="00B01770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B01770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4220B9AE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Pr="00B01770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bookmarkEnd w:id="5"/>
    <w:p w14:paraId="7DDC1A5C" w14:textId="77777777" w:rsidR="00E30A1F" w:rsidRPr="00857C5F" w:rsidRDefault="00E30A1F" w:rsidP="00B01770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D75E8F3" w14:textId="3C13E46B" w:rsidR="00BA1DD3" w:rsidRPr="00B01770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B01770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B01770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857C5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857C5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4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0C542CE7" w14:textId="77777777" w:rsidR="00374F55" w:rsidRPr="00B01770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Pr="00B01770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Pr="00B01770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31EE2C03" w:rsidR="001A4A9C" w:rsidRPr="00B01770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B01770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1 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ące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.0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01.05.2026</w:t>
      </w:r>
      <w:r w:rsidR="00DB2828" w:rsidRPr="00B01770">
        <w:t xml:space="preserve"> </w:t>
      </w:r>
      <w:r w:rsidR="00DB2828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3B9B0978" w14:textId="40FDABCB" w:rsidR="001A4A9C" w:rsidRPr="00B01770" w:rsidRDefault="001A4A9C" w:rsidP="00395C5D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B01770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2 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="00F93901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ące </w:t>
      </w:r>
      <w:r w:rsidR="00F93901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od 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02.05.2024</w:t>
      </w:r>
      <w:r w:rsidR="00F93901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01.05.2026</w:t>
      </w:r>
      <w:r w:rsidR="00DB2828" w:rsidRPr="00B01770">
        <w:t xml:space="preserve"> </w:t>
      </w:r>
      <w:r w:rsidR="00DB2828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B01770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B01770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B01770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B01770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Pr="00B01770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01770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B01770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B0177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1: </w:t>
      </w:r>
      <w:r w:rsidRPr="00B0177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Pr="00B01770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B0177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2: </w:t>
      </w:r>
      <w:r w:rsidRPr="00B0177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61846B22" w14:textId="77777777" w:rsidR="004A33BF" w:rsidRPr="00857C5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highlight w:val="yellow"/>
          <w:lang w:eastAsia="en-US"/>
        </w:rPr>
      </w:pPr>
    </w:p>
    <w:p w14:paraId="3135C2BF" w14:textId="77777777" w:rsidR="00374F55" w:rsidRPr="00B01770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5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16A80438" w14:textId="77777777" w:rsidR="00BA1DD3" w:rsidRPr="00B01770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B01770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określonych w Rozdziale </w:t>
      </w:r>
      <w:r w:rsidR="0042407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 spełniają określone przez Zamawiającego warunki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B01770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B01770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>uprawnień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617888FA" w:rsidR="00C207AC" w:rsidRPr="00B01770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1130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2C1A043B" w:rsidR="00C207AC" w:rsidRPr="00B01770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,</w:t>
      </w:r>
    </w:p>
    <w:p w14:paraId="43C7CA0C" w14:textId="7B43C43D" w:rsidR="00C207AC" w:rsidRPr="00B01770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B01770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3AE1C73" w14:textId="77777777" w:rsidR="002B6C06" w:rsidRPr="00B01770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2C5A6B2C" w14:textId="37BB14B2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6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8"/>
    </w:p>
    <w:p w14:paraId="47E3B723" w14:textId="77777777" w:rsidR="002B6C06" w:rsidRPr="00B01770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01770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01770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zachodzi którakolwiek z okoliczności wskazanych w art. 108 ust. 1 ustawy PZP (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01770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01770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01770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01770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01770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01770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01770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01770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01770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B01770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B01770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7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B01770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B01770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0" w:name="_Hlk64730768"/>
      <w:r w:rsidRPr="00B01770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B01770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B01770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B01770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B01770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B01770">
        <w:rPr>
          <w:rFonts w:ascii="Calibri" w:hAnsi="Calibri" w:cs="Arial"/>
          <w:sz w:val="20"/>
          <w:szCs w:val="20"/>
        </w:rPr>
        <w:t xml:space="preserve">stanowiącego </w:t>
      </w:r>
      <w:r w:rsidRPr="00B01770">
        <w:rPr>
          <w:rFonts w:ascii="Calibri" w:hAnsi="Calibri" w:cs="Arial"/>
          <w:b/>
          <w:bCs/>
          <w:sz w:val="20"/>
          <w:szCs w:val="20"/>
        </w:rPr>
        <w:t>Z</w:t>
      </w:r>
      <w:r w:rsidRPr="00B01770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B01770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B01770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B01770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B01770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aktualne na dzień składania ofert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B01770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B01770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B01770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B01770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B01770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obejmują:</w:t>
      </w:r>
    </w:p>
    <w:p w14:paraId="4FF52DB4" w14:textId="78D6CD4E" w:rsidR="006F380F" w:rsidRPr="00B01770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Oświadczenie </w:t>
      </w:r>
      <w:r w:rsidR="00282090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B01770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1" w:name="_Hlk64272645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1"/>
    <w:p w14:paraId="12DEEB7E" w14:textId="464D0590" w:rsidR="00DA415F" w:rsidRPr="00B01770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B01770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0"/>
    <w:p w14:paraId="57073A20" w14:textId="311AAF88" w:rsidR="00374F55" w:rsidRPr="00857C5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67CCC70D" w14:textId="77777777" w:rsidR="00374F55" w:rsidRPr="00B01770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B01770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6396638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3B387BB4" w14:textId="77777777" w:rsidR="00374F55" w:rsidRPr="00B01770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B01770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B01770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Pr="00B01770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876232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3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B01770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B01770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B01770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9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B01770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B01770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B01770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Wykonawców wspólnie ubiegających się o udzielenie zamówienia, oświadczenia, o których mowa w Rozdziale VIII pkt. 1.</w:t>
      </w:r>
      <w:r w:rsidR="002F7F97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 składa każdy z Wykonawców. Oświadczenia te potwierdzają brak podstaw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wykluczenia oraz spełnianie warunków udziału w zakresie, w jakim każdy z Wykonawców wykazuje spełnianie warunków udziału w postępowaniu.</w:t>
      </w:r>
    </w:p>
    <w:p w14:paraId="69C7885A" w14:textId="7E987E82" w:rsidR="0021528F" w:rsidRPr="00B01770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B01770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B01770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B01770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231FC025" w14:textId="77777777" w:rsidR="0061382C" w:rsidRPr="00857C5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47B9F52A" w14:textId="2149F67D" w:rsidR="00880A28" w:rsidRPr="00B01770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6396640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B01770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B01770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B01770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B01770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B01770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B01770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B01770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41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472EC05C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B01770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email: </w:t>
      </w:r>
      <w:r w:rsidR="00FF2B70" w:rsidRPr="00B01770">
        <w:rPr>
          <w:rFonts w:ascii="Calibri" w:hAnsi="Calibri" w:cs="Calibri"/>
          <w:color w:val="404040" w:themeColor="text1" w:themeTint="BF"/>
          <w:sz w:val="20"/>
          <w:szCs w:val="20"/>
        </w:rPr>
        <w:t>monikak</w:t>
      </w:r>
      <w:r w:rsidR="00AC0800" w:rsidRPr="00B01770">
        <w:rPr>
          <w:rFonts w:ascii="Calibri" w:hAnsi="Calibri" w:cs="Calibri"/>
          <w:color w:val="404040" w:themeColor="text1" w:themeTint="BF"/>
          <w:sz w:val="20"/>
          <w:szCs w:val="20"/>
        </w:rPr>
        <w:t>@tamal.com.pl</w:t>
      </w:r>
    </w:p>
    <w:p w14:paraId="01D5E8F7" w14:textId="3C93ECB8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0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7" w:name="_Hlk82502814"/>
      <w:r w:rsidR="00763790" w:rsidRPr="00B01770">
        <w:fldChar w:fldCharType="begin"/>
      </w:r>
      <w:r w:rsidR="00763790" w:rsidRPr="00B01770">
        <w:instrText xml:space="preserve"> HYPERLINK "https://platformazakupowa.pl/pn/tamal" </w:instrText>
      </w:r>
      <w:r w:rsidR="00763790" w:rsidRPr="00B01770">
        <w:fldChar w:fldCharType="separate"/>
      </w:r>
      <w:r w:rsidR="00174A0F" w:rsidRPr="00B01770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 w:rsidRPr="00B0177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7"/>
      <w:r w:rsidR="00174A0F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 w:rsidRPr="00B01770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1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B01770">
        <w:rPr>
          <w:rFonts w:ascii="Calibri" w:hAnsi="Calibri" w:cs="Calibri"/>
          <w:sz w:val="20"/>
          <w:szCs w:val="20"/>
        </w:rPr>
        <w:t xml:space="preserve">formularza </w:t>
      </w:r>
      <w:r w:rsidRPr="00B01770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B01770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B01770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B01770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2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B01770">
        <w:rPr>
          <w:rFonts w:ascii="Calibri" w:hAnsi="Calibri" w:cs="Calibri"/>
          <w:sz w:val="20"/>
          <w:szCs w:val="20"/>
        </w:rPr>
        <w:t xml:space="preserve">” 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B01770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3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B01770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lastRenderedPageBreak/>
        <w:t xml:space="preserve">Wykonawca jako podmiot profesjonalny ma obowiązek sprawdzania komunikatów i wiadomości bezpośrednio na platformazakupowa.pl przesłanych przez </w:t>
      </w:r>
      <w:r w:rsidR="00E359A3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B01770">
        <w:rPr>
          <w:rFonts w:ascii="Calibri" w:hAnsi="Calibri" w:cs="Calibri"/>
          <w:sz w:val="20"/>
          <w:szCs w:val="20"/>
        </w:rPr>
        <w:t>Rozporządzenia</w:t>
      </w:r>
      <w:r w:rsidRPr="00B01770">
        <w:rPr>
          <w:rFonts w:ascii="Calibri" w:hAnsi="Calibri" w:cs="Calibri"/>
          <w:sz w:val="20"/>
          <w:szCs w:val="20"/>
        </w:rPr>
        <w:t xml:space="preserve"> </w:t>
      </w:r>
      <w:r w:rsidR="00282090" w:rsidRPr="00B01770">
        <w:rPr>
          <w:rFonts w:ascii="Calibri" w:hAnsi="Calibri" w:cs="Calibri"/>
          <w:sz w:val="20"/>
          <w:szCs w:val="20"/>
        </w:rPr>
        <w:t>Prezesa</w:t>
      </w:r>
      <w:r w:rsidRPr="00B01770">
        <w:rPr>
          <w:rFonts w:ascii="Calibri" w:hAnsi="Calibri" w:cs="Calibri"/>
          <w:sz w:val="20"/>
          <w:szCs w:val="20"/>
        </w:rPr>
        <w:t xml:space="preserve"> </w:t>
      </w:r>
      <w:r w:rsidR="00282090" w:rsidRPr="00B01770">
        <w:rPr>
          <w:rFonts w:ascii="Calibri" w:hAnsi="Calibri" w:cs="Calibri"/>
          <w:sz w:val="20"/>
          <w:szCs w:val="20"/>
        </w:rPr>
        <w:t>Rady</w:t>
      </w:r>
      <w:r w:rsidRPr="00B01770">
        <w:rPr>
          <w:rFonts w:ascii="Calibri" w:hAnsi="Calibri" w:cs="Calibri"/>
          <w:sz w:val="20"/>
          <w:szCs w:val="20"/>
        </w:rPr>
        <w:t xml:space="preserve"> </w:t>
      </w:r>
      <w:r w:rsidR="00282090" w:rsidRPr="00B01770">
        <w:rPr>
          <w:rFonts w:ascii="Calibri" w:hAnsi="Calibri" w:cs="Calibri"/>
          <w:sz w:val="20"/>
          <w:szCs w:val="20"/>
        </w:rPr>
        <w:t>Ministrów</w:t>
      </w:r>
      <w:r w:rsidRPr="00B01770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01770">
        <w:rPr>
          <w:rFonts w:ascii="Calibri" w:hAnsi="Calibri" w:cs="Calibri"/>
          <w:sz w:val="20"/>
          <w:szCs w:val="20"/>
        </w:rPr>
        <w:t>kb</w:t>
      </w:r>
      <w:proofErr w:type="spellEnd"/>
      <w:r w:rsidRPr="00B01770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B01770">
        <w:rPr>
          <w:rFonts w:ascii="Calibri" w:hAnsi="Calibri" w:cs="Calibri"/>
          <w:sz w:val="20"/>
          <w:szCs w:val="20"/>
        </w:rPr>
        <w:t>Acrobat</w:t>
      </w:r>
      <w:proofErr w:type="spellEnd"/>
      <w:r w:rsidRPr="00B01770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14:paraId="45691CE8" w14:textId="39B17402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B01770">
        <w:rPr>
          <w:rFonts w:ascii="Calibri" w:hAnsi="Calibri" w:cs="Calibri"/>
          <w:sz w:val="20"/>
          <w:szCs w:val="20"/>
        </w:rPr>
        <w:t>hh:mm:ss</w:t>
      </w:r>
      <w:proofErr w:type="spellEnd"/>
      <w:r w:rsidRPr="00B01770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B01770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7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B01770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B01770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8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B01770">
        <w:rPr>
          <w:rFonts w:ascii="Calibri" w:hAnsi="Calibri" w:cs="Calibri"/>
          <w:sz w:val="20"/>
          <w:szCs w:val="20"/>
        </w:rPr>
        <w:t xml:space="preserve">: </w:t>
      </w:r>
      <w:hyperlink r:id="rId19" w:history="1">
        <w:r w:rsidR="009F654D" w:rsidRPr="00B01770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0" w:history="1">
        <w:r w:rsidRPr="00B01770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B01770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B01770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B01770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B01770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B92EEE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B92EE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2"/>
      <w:r w:rsidRPr="00B92EE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18"/>
    </w:p>
    <w:p w14:paraId="0CA4BDF7" w14:textId="77777777" w:rsidR="0061382C" w:rsidRPr="00B92EEE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B92EEE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19" w:name="_21eeoojwb3nb"/>
      <w:bookmarkEnd w:id="19"/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B92EEE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B92EEE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4" w:history="1">
        <w:r w:rsidRPr="00B92EEE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5">
        <w:r w:rsidR="00B5365D" w:rsidRPr="00B92EEE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B92EEE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6">
        <w:r w:rsidR="00B5365D" w:rsidRPr="00B92EEE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7">
        <w:r w:rsidR="00D7523C" w:rsidRPr="00B92EEE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28" w:history="1">
        <w:r w:rsidRPr="00B92EEE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29" w:history="1">
        <w:r w:rsidR="00F959E7" w:rsidRPr="00B92EEE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B92EE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0" w:name="_Hlk64282345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B92EEE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B92EEE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gdy podmiotowe środki dowodowe, inne dokumenty, lub dokumenty potwierdzające umocowanie do reprezentowania odpowiednio </w:t>
      </w:r>
      <w:r w:rsidR="00655D7D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1" w:name="_Hlk64731686"/>
      <w:r w:rsidR="00655D7D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lub podwykonawcy niebędącego podmiotem udostępniającym zasoby na takich zasadach, zwane dalej „dokumentami potwierdzającymi umocowanie do reprezentowania”, zostały wystawione przez upoważnione podmioty inne niż Wykonawca, Wykonawca wspólnie ubiegający się o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udzielenie zamówienia lub podwykonawca, zwane dalej „upoważnionymi podmiotami”, jako dokument elektroniczny, przekazuje się ten dokument</w:t>
      </w:r>
      <w:bookmarkEnd w:id="21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B92EEE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B92EEE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B92EEE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B92EEE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B92EEE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B92EEE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B92EEE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857C5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highlight w:val="yellow"/>
          <w:lang w:eastAsia="pl-PL"/>
        </w:rPr>
      </w:pPr>
    </w:p>
    <w:p w14:paraId="13FCBD04" w14:textId="77777777" w:rsidR="0061382C" w:rsidRPr="00857C5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1F9367E5" w14:textId="3889F056" w:rsidR="00BA1DD3" w:rsidRPr="00E573E5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6396643"/>
      <w:r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72E15214" w14:textId="77777777" w:rsidR="0061382C" w:rsidRPr="00E573E5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5D9551AA" w:rsidR="00231420" w:rsidRPr="00E573E5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3" w:name="_Hlk86391681"/>
      <w:r w:rsidRPr="00E573E5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E573E5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E573E5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E573E5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E573E5">
        <w:rPr>
          <w:rFonts w:asciiTheme="minorHAnsi" w:hAnsiTheme="minorHAnsi" w:cstheme="minorHAnsi"/>
          <w:sz w:val="20"/>
          <w:szCs w:val="20"/>
        </w:rPr>
        <w:t xml:space="preserve">na </w:t>
      </w:r>
      <w:hyperlink r:id="rId30" w:history="1">
        <w:r w:rsidRPr="00E573E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E573E5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0E4054" w:rsidRPr="00E573E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D51FB" w:rsidRPr="00E573E5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E4054" w:rsidRPr="00E573E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610E7" w:rsidRPr="00E573E5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0E4054" w:rsidRPr="00E573E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F76A0" w:rsidRPr="00E573E5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9610E7" w:rsidRPr="00E573E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F76A0" w:rsidRPr="00E573E5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E573E5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E573E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F3FD5" w:rsidRPr="00E573E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F76A0" w:rsidRPr="00E573E5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3"/>
    <w:p w14:paraId="4265326C" w14:textId="77777777" w:rsidR="00231420" w:rsidRPr="00E573E5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 w SWZ dokumenty.</w:t>
      </w:r>
    </w:p>
    <w:p w14:paraId="3F4C20B7" w14:textId="673B6C09" w:rsidR="00231420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4318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przycisk </w:t>
      </w:r>
      <w:r w:rsidR="001E6A70"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rzejdź do podsumowania</w:t>
      </w:r>
      <w:r w:rsidR="001E6A70"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1" w:history="1">
        <w:r w:rsidRPr="00377898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2" w:history="1">
        <w:r w:rsidRPr="00377898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377898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377898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77898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377898">
        <w:rPr>
          <w:rFonts w:asciiTheme="minorHAnsi" w:hAnsiTheme="minorHAnsi" w:cstheme="minorHAnsi"/>
          <w:sz w:val="20"/>
          <w:szCs w:val="20"/>
        </w:rPr>
        <w:t>. Po</w:t>
      </w:r>
      <w:r w:rsidRPr="00377898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377898">
        <w:rPr>
          <w:rFonts w:asciiTheme="minorHAnsi" w:hAnsiTheme="minorHAnsi" w:cstheme="minorHAnsi"/>
          <w:sz w:val="20"/>
          <w:szCs w:val="20"/>
        </w:rPr>
        <w:t>u</w:t>
      </w:r>
      <w:r w:rsidRPr="00377898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377898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377898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377898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377898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377898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377898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37789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377898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857C5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6F5D05EE" w14:textId="77777777" w:rsidR="00BA1DD3" w:rsidRPr="00857C5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  <w:highlight w:val="yellow"/>
        </w:rPr>
      </w:pPr>
    </w:p>
    <w:p w14:paraId="5EB96795" w14:textId="42E8EA18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4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4"/>
    </w:p>
    <w:p w14:paraId="013C1849" w14:textId="77777777" w:rsidR="0061382C" w:rsidRPr="00377898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377898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377898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86396645"/>
      <w:r w:rsidRPr="00377898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CBF7910" w14:textId="77777777" w:rsidR="0061382C" w:rsidRPr="00857C5F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3C4753A" w14:textId="05D8B4D2" w:rsidR="00C04C2F" w:rsidRPr="00DA29A7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Zamawiający określa poufny charakter informacji zawartej w części:</w:t>
      </w:r>
    </w:p>
    <w:p w14:paraId="124A4403" w14:textId="56362437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1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-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>Charakterystyka Zamawiającego</w:t>
      </w:r>
    </w:p>
    <w:p w14:paraId="461FED4C" w14:textId="1B1BE905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1a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-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Mapa </w:t>
      </w:r>
    </w:p>
    <w:p w14:paraId="51DF5E04" w14:textId="2B9C68A8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2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-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>Opis Przedmiotu Zamówienia (dalej OPZ)</w:t>
      </w:r>
    </w:p>
    <w:p w14:paraId="01269E64" w14:textId="6A9D9C83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2a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-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>Szkodowość mienie</w:t>
      </w:r>
    </w:p>
    <w:p w14:paraId="41971B20" w14:textId="3EF7AE8C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2b - Szkodowość OC</w:t>
      </w:r>
    </w:p>
    <w:p w14:paraId="5CF86853" w14:textId="3EEFFBB7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2c  -  Wykaz sprzętu do ubezpieczenia sprzętu elektronicznego od wszystkich ryzyk</w:t>
      </w:r>
    </w:p>
    <w:p w14:paraId="25E40259" w14:textId="17986091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4 –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F</w:t>
      </w:r>
      <w:proofErr w:type="spellStart"/>
      <w:r w:rsidRPr="00DA29A7">
        <w:rPr>
          <w:rFonts w:asciiTheme="minorHAnsi" w:hAnsiTheme="minorHAnsi" w:cstheme="minorHAnsi"/>
          <w:sz w:val="20"/>
          <w:szCs w:val="20"/>
          <w:lang w:eastAsia="pl-PL"/>
        </w:rPr>
        <w:t>ormularz</w:t>
      </w:r>
      <w:proofErr w:type="spellEnd"/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 ofertowy</w:t>
      </w:r>
    </w:p>
    <w:p w14:paraId="2E851F23" w14:textId="77777777" w:rsidR="00DA29A7" w:rsidRPr="00857C5F" w:rsidRDefault="00DA29A7" w:rsidP="00DA29A7">
      <w:pPr>
        <w:pStyle w:val="Akapitzlist"/>
        <w:numPr>
          <w:ilvl w:val="7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66AC015" w14:textId="5820D805" w:rsidR="00C04C2F" w:rsidRPr="00377898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377898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4" w:history="1">
        <w:r w:rsidR="006868BB" w:rsidRPr="00377898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377898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377898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Pr="00377898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</w:t>
      </w:r>
      <w:r w:rsidR="00AC080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377898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377898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6"/>
      <w:bookmarkStart w:id="27" w:name="_Hlk63878716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6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377898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7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7"/>
      <w:bookmarkEnd w:id="28"/>
    </w:p>
    <w:p w14:paraId="0C621E87" w14:textId="77777777" w:rsidR="00BA1DD3" w:rsidRPr="00377898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377898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29" w:name="_Hlk159926349"/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377898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377898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bookmarkEnd w:id="29"/>
    <w:p w14:paraId="2CC13048" w14:textId="77777777" w:rsidR="0061382C" w:rsidRPr="00857C5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  <w:lang w:eastAsia="pl-PL"/>
        </w:rPr>
      </w:pPr>
    </w:p>
    <w:p w14:paraId="59A8C04B" w14:textId="77777777" w:rsidR="0061382C" w:rsidRPr="00857C5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  <w:lang w:eastAsia="pl-PL"/>
        </w:rPr>
      </w:pPr>
    </w:p>
    <w:p w14:paraId="5E34E42C" w14:textId="19CC48A5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6396648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30"/>
    </w:p>
    <w:p w14:paraId="77F991FD" w14:textId="77777777" w:rsidR="00BA1DD3" w:rsidRPr="00377898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377898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1" w:name="_Hlk159926317"/>
      <w:r w:rsidRPr="00377898">
        <w:rPr>
          <w:rFonts w:asciiTheme="minorHAnsi" w:hAnsiTheme="minorHAnsi" w:cstheme="minorHAnsi"/>
          <w:color w:val="404040" w:themeColor="text1" w:themeTint="BF"/>
          <w:sz w:val="20"/>
        </w:rPr>
        <w:lastRenderedPageBreak/>
        <w:t>Przy dokonywaniu oceny ofert Zamawiający będzie stosował następujące zasady:</w:t>
      </w:r>
    </w:p>
    <w:p w14:paraId="21861632" w14:textId="77777777" w:rsidR="00783330" w:rsidRPr="00377898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377898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377898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36CD5EB7" w:rsidR="00783330" w:rsidRPr="00377898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383F746E" w:rsidR="00783330" w:rsidRPr="00377898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377898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377898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377898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377898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377898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898">
        <w:rPr>
          <w:rFonts w:asciiTheme="minorHAnsi" w:hAnsiTheme="minorHAnsi" w:cstheme="minorHAnsi"/>
          <w:sz w:val="20"/>
          <w:szCs w:val="20"/>
        </w:rPr>
        <w:t xml:space="preserve">Cena wskazana w formularzu - wartość łącznej składki przedstawionej oferty za wskazany okres </w:t>
      </w:r>
      <w:r w:rsidR="00222DEA" w:rsidRPr="00377898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377898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898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377898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77898">
        <w:rPr>
          <w:rFonts w:asciiTheme="minorHAnsi" w:hAnsiTheme="minorHAnsi" w:cstheme="minorHAnsi"/>
          <w:sz w:val="20"/>
          <w:szCs w:val="20"/>
        </w:rPr>
        <w:tab/>
      </w:r>
      <w:r w:rsidRPr="00377898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  <w:bookmarkEnd w:id="31"/>
    </w:p>
    <w:p w14:paraId="6F7D1820" w14:textId="77777777" w:rsidR="00783330" w:rsidRPr="00377898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377898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</w:rPr>
        <w:t>Kryterium PREFEROWANY ZAKRES UBEZPIECZENIA:</w:t>
      </w:r>
      <w:r w:rsidRPr="00377898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377898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377898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377898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377898">
        <w:rPr>
          <w:rFonts w:asciiTheme="minorHAnsi" w:hAnsiTheme="minorHAnsi" w:cstheme="minorHAnsi"/>
          <w:b w:val="0"/>
          <w:bCs/>
          <w:sz w:val="20"/>
        </w:rPr>
        <w:br/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377898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bookmarkStart w:id="32" w:name="_Hlk152663717"/>
      <w:r w:rsidRPr="00377898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 w:rsidRPr="00377898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377898">
        <w:rPr>
          <w:rFonts w:asciiTheme="minorHAnsi" w:hAnsiTheme="minorHAnsi" w:cstheme="minorHAnsi"/>
          <w:sz w:val="20"/>
        </w:rPr>
        <w:t>CZĘŚCI 1</w:t>
      </w:r>
    </w:p>
    <w:bookmarkEnd w:id="32"/>
    <w:p w14:paraId="6812E0A5" w14:textId="7EAAC6E6" w:rsidR="002C5A80" w:rsidRPr="00377898" w:rsidRDefault="00FF2B7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2C5A80" w:rsidRPr="00377898">
        <w:rPr>
          <w:rFonts w:ascii="Calibri" w:hAnsi="Calibri" w:cs="Calibri"/>
          <w:b/>
          <w:bCs/>
          <w:sz w:val="20"/>
          <w:szCs w:val="20"/>
        </w:rPr>
        <w:t>Klauzula przeoczenia</w:t>
      </w:r>
    </w:p>
    <w:p w14:paraId="3740FB59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52F76444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77CE63DC" w14:textId="0192A848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  <w:t xml:space="preserve">  Klauzula dedykowanego </w:t>
      </w:r>
      <w:r w:rsidR="001C244A">
        <w:rPr>
          <w:rFonts w:ascii="Calibri" w:hAnsi="Calibri" w:cs="Calibri"/>
          <w:b/>
          <w:bCs/>
          <w:sz w:val="20"/>
          <w:szCs w:val="20"/>
        </w:rPr>
        <w:t>koordynatora</w:t>
      </w:r>
    </w:p>
    <w:p w14:paraId="43D9E2FC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18E5C553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41CFCA95" w14:textId="77777777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77898">
        <w:rPr>
          <w:rFonts w:ascii="Calibri" w:hAnsi="Calibri" w:cs="Calibri"/>
          <w:b/>
          <w:sz w:val="20"/>
          <w:szCs w:val="20"/>
        </w:rPr>
        <w:t xml:space="preserve">                     </w:t>
      </w:r>
      <w:r w:rsidRPr="00377898">
        <w:rPr>
          <w:rFonts w:ascii="Calibri" w:hAnsi="Calibri" w:cs="Calibri"/>
          <w:b/>
          <w:bCs/>
          <w:sz w:val="20"/>
          <w:szCs w:val="20"/>
          <w:lang w:eastAsia="ar-SA"/>
        </w:rPr>
        <w:t>Klauzula zniżki za dobry przebieg ubezpieczenia</w:t>
      </w:r>
    </w:p>
    <w:p w14:paraId="5B9B9044" w14:textId="77777777" w:rsidR="002C5A80" w:rsidRPr="00377898" w:rsidRDefault="002C5A80" w:rsidP="002C5A80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79FA6E3F" w14:textId="77777777" w:rsidR="002C5A80" w:rsidRPr="00377898" w:rsidRDefault="002C5A80" w:rsidP="002C5A80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17645628" w14:textId="77777777" w:rsidR="002C5A80" w:rsidRPr="00377898" w:rsidRDefault="002C5A80" w:rsidP="002C5A80">
      <w:pPr>
        <w:pStyle w:val="Standard"/>
        <w:tabs>
          <w:tab w:val="left" w:pos="-3174"/>
        </w:tabs>
        <w:rPr>
          <w:b/>
          <w:bCs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 xml:space="preserve">                      Klauzula funduszu prewencyjnego</w:t>
      </w:r>
    </w:p>
    <w:p w14:paraId="7F4A0C54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 otrzyma 5 pkt.</w:t>
      </w:r>
    </w:p>
    <w:p w14:paraId="56C7DD83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4C89D31D" w14:textId="77777777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naruszenia praw pacjenta</w:t>
      </w:r>
    </w:p>
    <w:p w14:paraId="5E74E849" w14:textId="77777777" w:rsidR="002C5A80" w:rsidRPr="00377898" w:rsidRDefault="002C5A80" w:rsidP="002C5A80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46000FD0" w14:textId="77777777" w:rsidR="002C5A80" w:rsidRPr="00377898" w:rsidRDefault="002C5A80" w:rsidP="002C5A80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0B6B697F" w14:textId="77777777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szkód związanych z naruszeniem dóbr osobistych</w:t>
      </w:r>
    </w:p>
    <w:p w14:paraId="32BAD2D4" w14:textId="77777777" w:rsidR="002C5A80" w:rsidRPr="00377898" w:rsidRDefault="002C5A80" w:rsidP="002C5A80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4436D081" w14:textId="77777777" w:rsidR="002C5A80" w:rsidRPr="00377898" w:rsidRDefault="002C5A80" w:rsidP="002C5A80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6F853271" w14:textId="05E9B544" w:rsidR="00425FE4" w:rsidRPr="001C244A" w:rsidRDefault="00425FE4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</w:p>
    <w:p w14:paraId="363DC9C9" w14:textId="7C1012C4" w:rsidR="00286364" w:rsidRPr="001C244A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1C244A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="003115FA" w:rsidRPr="001C244A">
        <w:rPr>
          <w:rFonts w:asciiTheme="minorHAnsi" w:hAnsiTheme="minorHAnsi" w:cstheme="minorHAnsi"/>
          <w:sz w:val="20"/>
        </w:rPr>
        <w:t>CZĘŚCI 2</w:t>
      </w:r>
    </w:p>
    <w:p w14:paraId="71A09AAD" w14:textId="77777777" w:rsidR="001C244A" w:rsidRPr="001C244A" w:rsidRDefault="001C244A" w:rsidP="001C244A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>Klauzula dedykowanego koordynatora</w:t>
      </w:r>
    </w:p>
    <w:p w14:paraId="27793398" w14:textId="03E24D44" w:rsidR="001C244A" w:rsidRPr="001C244A" w:rsidRDefault="001C244A" w:rsidP="001C244A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Cs/>
          <w:sz w:val="20"/>
          <w:szCs w:val="20"/>
          <w:lang w:eastAsia="pl-PL"/>
        </w:rPr>
      </w:pPr>
      <w:r w:rsidRPr="001C244A">
        <w:rPr>
          <w:rFonts w:ascii="Calibri" w:hAnsi="Calibri" w:cs="Calibri"/>
          <w:sz w:val="20"/>
          <w:szCs w:val="20"/>
        </w:rPr>
        <w:t xml:space="preserve">                       Wykonawca, który zaoferuje klauzulę otrzyma 3 pkt.</w:t>
      </w:r>
    </w:p>
    <w:p w14:paraId="6FBD0D4E" w14:textId="73F27D14" w:rsidR="001C244A" w:rsidRPr="001C244A" w:rsidRDefault="001C244A" w:rsidP="001C244A">
      <w:pPr>
        <w:ind w:left="568" w:firstLine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Wykonawca, który nie zaoferuje klauzuli otrzyma – 0 pkt.</w:t>
      </w:r>
    </w:p>
    <w:p w14:paraId="5B8EE85D" w14:textId="0419C181" w:rsidR="00FF2B70" w:rsidRPr="001C244A" w:rsidRDefault="00BF5924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="00FF2B70" w:rsidRPr="001C244A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FF2B70" w:rsidRPr="001C244A">
        <w:rPr>
          <w:rFonts w:ascii="Calibri" w:hAnsi="Calibri" w:cs="Calibri"/>
          <w:b/>
          <w:bCs/>
          <w:sz w:val="20"/>
          <w:szCs w:val="20"/>
        </w:rPr>
        <w:tab/>
        <w:t xml:space="preserve">   Klauzula funduszu prewencyjnego </w:t>
      </w:r>
    </w:p>
    <w:p w14:paraId="1475118D" w14:textId="6A87A219" w:rsidR="00FF2B70" w:rsidRPr="001C244A" w:rsidRDefault="00FF2B70" w:rsidP="00FF2B70">
      <w:pPr>
        <w:ind w:left="1134" w:firstLine="282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5</w:t>
      </w:r>
      <w:r w:rsidR="00FF2316" w:rsidRPr="001C244A">
        <w:rPr>
          <w:rFonts w:ascii="Calibri" w:hAnsi="Calibri" w:cs="Calibri"/>
          <w:sz w:val="20"/>
          <w:szCs w:val="20"/>
        </w:rPr>
        <w:t xml:space="preserve"> </w:t>
      </w:r>
      <w:r w:rsidRPr="001C244A">
        <w:rPr>
          <w:rFonts w:ascii="Calibri" w:hAnsi="Calibri" w:cs="Calibri"/>
          <w:sz w:val="20"/>
          <w:szCs w:val="20"/>
        </w:rPr>
        <w:t>pkt.</w:t>
      </w:r>
    </w:p>
    <w:p w14:paraId="6A2F18ED" w14:textId="77777777" w:rsidR="00FF2B70" w:rsidRPr="001C244A" w:rsidRDefault="00FF2B70" w:rsidP="00FF2B70">
      <w:pPr>
        <w:ind w:left="709" w:firstLine="707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>Wykonawca, który nie zaoferuje klauzuli</w:t>
      </w:r>
      <w:r w:rsidRPr="001C244A">
        <w:rPr>
          <w:rFonts w:ascii="Calibri" w:hAnsi="Calibri" w:cs="Calibri"/>
          <w:bCs/>
          <w:sz w:val="20"/>
          <w:szCs w:val="20"/>
        </w:rPr>
        <w:t xml:space="preserve"> otrzyma</w:t>
      </w:r>
      <w:r w:rsidRPr="001C244A">
        <w:rPr>
          <w:rFonts w:ascii="Calibri" w:hAnsi="Calibri" w:cs="Calibri"/>
          <w:sz w:val="20"/>
          <w:szCs w:val="20"/>
        </w:rPr>
        <w:t xml:space="preserve"> – 0 pkt.</w:t>
      </w:r>
    </w:p>
    <w:p w14:paraId="2BDC199C" w14:textId="1B40A88A" w:rsidR="00FF2B70" w:rsidRPr="001C244A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1C244A">
        <w:rPr>
          <w:rFonts w:ascii="Calibri" w:hAnsi="Calibri" w:cs="Calibri"/>
          <w:b/>
          <w:sz w:val="20"/>
          <w:szCs w:val="20"/>
        </w:rPr>
        <w:t xml:space="preserve">       </w:t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Klauzula </w:t>
      </w:r>
      <w:r w:rsidR="001C244A" w:rsidRPr="001C244A">
        <w:rPr>
          <w:rFonts w:ascii="Calibri" w:hAnsi="Calibri" w:cs="Calibri"/>
          <w:b/>
          <w:bCs/>
          <w:kern w:val="0"/>
          <w:sz w:val="20"/>
          <w:szCs w:val="20"/>
          <w:lang w:eastAsia="ar-SA"/>
        </w:rPr>
        <w:t>zwiększenia limitu w Klauzuli awarii, błędu człowieka</w:t>
      </w:r>
    </w:p>
    <w:p w14:paraId="35CF4386" w14:textId="72F214F7" w:rsidR="00FF2B70" w:rsidRPr="001C244A" w:rsidRDefault="00FF2B70" w:rsidP="00FF2B70">
      <w:pPr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3</w:t>
      </w:r>
      <w:r w:rsidRPr="001C244A">
        <w:rPr>
          <w:rFonts w:ascii="Calibri" w:hAnsi="Calibri" w:cs="Calibri"/>
          <w:sz w:val="20"/>
          <w:szCs w:val="20"/>
        </w:rPr>
        <w:t xml:space="preserve"> pkt.</w:t>
      </w:r>
    </w:p>
    <w:p w14:paraId="6B5E3AF4" w14:textId="77777777" w:rsidR="00FF2B70" w:rsidRPr="001C244A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Pr="001C244A">
        <w:rPr>
          <w:rFonts w:ascii="Calibri" w:hAnsi="Calibri" w:cs="Calibri"/>
          <w:sz w:val="20"/>
          <w:szCs w:val="20"/>
        </w:rPr>
        <w:tab/>
        <w:t xml:space="preserve"> </w:t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1908833A" w14:textId="7A1D0967" w:rsidR="00FF2B70" w:rsidRPr="001C244A" w:rsidRDefault="00FF2B70" w:rsidP="00FF2B70">
      <w:pPr>
        <w:pStyle w:val="Standard"/>
        <w:tabs>
          <w:tab w:val="left" w:pos="-3174"/>
        </w:tabs>
        <w:rPr>
          <w:b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Klauzula </w:t>
      </w:r>
      <w:r w:rsidR="001C244A" w:rsidRPr="001C244A">
        <w:rPr>
          <w:rFonts w:ascii="Calibri" w:hAnsi="Calibri" w:cs="Calibri"/>
          <w:b/>
          <w:kern w:val="0"/>
          <w:sz w:val="20"/>
          <w:szCs w:val="20"/>
          <w:lang w:eastAsia="ar-SA"/>
        </w:rPr>
        <w:t>zwiększenia limitu w ryzyku kradzieży zwykłej</w:t>
      </w:r>
    </w:p>
    <w:p w14:paraId="769F00CA" w14:textId="2376FE50" w:rsidR="00FF2B70" w:rsidRPr="001C244A" w:rsidRDefault="00FF2B70" w:rsidP="00FF2B70">
      <w:pPr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  <w:t xml:space="preserve">  </w:t>
      </w:r>
      <w:r w:rsidRPr="001C244A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3</w:t>
      </w:r>
      <w:r w:rsidRPr="001C244A">
        <w:rPr>
          <w:rFonts w:ascii="Calibri" w:hAnsi="Calibri" w:cs="Calibri"/>
          <w:sz w:val="20"/>
          <w:szCs w:val="20"/>
        </w:rPr>
        <w:t xml:space="preserve"> pkt.</w:t>
      </w:r>
    </w:p>
    <w:p w14:paraId="4CEE327A" w14:textId="77777777" w:rsidR="00FF2B70" w:rsidRPr="001C244A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2B26F015" w14:textId="77777777" w:rsidR="001C244A" w:rsidRPr="001C244A" w:rsidRDefault="00263B32" w:rsidP="001C244A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lastRenderedPageBreak/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Klauzula </w:t>
      </w:r>
      <w:r w:rsidR="001C244A" w:rsidRPr="001C244A">
        <w:rPr>
          <w:rFonts w:ascii="Calibri" w:hAnsi="Calibri" w:cs="Calibri"/>
          <w:b/>
          <w:bCs/>
          <w:sz w:val="20"/>
          <w:szCs w:val="20"/>
        </w:rPr>
        <w:t xml:space="preserve">zniesienia franszyz </w:t>
      </w:r>
    </w:p>
    <w:p w14:paraId="4B38E632" w14:textId="06D96BFF" w:rsidR="00263B32" w:rsidRPr="001C244A" w:rsidRDefault="00A16444" w:rsidP="00263B32">
      <w:pPr>
        <w:ind w:left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="00263B32" w:rsidRPr="001C244A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3</w:t>
      </w:r>
      <w:r w:rsidR="00263B32" w:rsidRPr="001C244A">
        <w:rPr>
          <w:rFonts w:ascii="Calibri" w:hAnsi="Calibri" w:cs="Calibri"/>
          <w:sz w:val="20"/>
          <w:szCs w:val="20"/>
        </w:rPr>
        <w:t xml:space="preserve"> pkt.</w:t>
      </w:r>
    </w:p>
    <w:p w14:paraId="60E3D9F0" w14:textId="77777777" w:rsidR="00263B32" w:rsidRPr="001C244A" w:rsidRDefault="00263B32" w:rsidP="00263B32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56CC1D6" w14:textId="77777777" w:rsidR="001C244A" w:rsidRPr="001C244A" w:rsidRDefault="001C244A" w:rsidP="001C244A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>Klauzula zniżki za dobry przebieg ubezpieczenia</w:t>
      </w:r>
    </w:p>
    <w:p w14:paraId="2D767FDF" w14:textId="4F28F6B9" w:rsidR="001C244A" w:rsidRPr="001C244A" w:rsidRDefault="001C244A" w:rsidP="001C244A">
      <w:pPr>
        <w:snapToGrid w:val="0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Cs/>
          <w:sz w:val="20"/>
          <w:szCs w:val="20"/>
        </w:rPr>
        <w:t xml:space="preserve">               </w:t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1C244A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36146B00" w14:textId="77777777" w:rsidR="001C244A" w:rsidRPr="001C244A" w:rsidRDefault="001C244A" w:rsidP="001C244A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3145BD36" w14:textId="202CBADC" w:rsidR="00BF5924" w:rsidRPr="00857C5F" w:rsidRDefault="00BF5924" w:rsidP="004A33BF">
      <w:pPr>
        <w:ind w:left="708"/>
        <w:rPr>
          <w:rFonts w:ascii="Calibri" w:hAnsi="Calibri" w:cs="Calibri"/>
          <w:color w:val="FF0000"/>
          <w:sz w:val="20"/>
          <w:szCs w:val="20"/>
          <w:highlight w:val="yellow"/>
        </w:rPr>
      </w:pPr>
    </w:p>
    <w:p w14:paraId="05BEFA0B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7A7C2EB7" w14:textId="77777777" w:rsidR="004A33BF" w:rsidRPr="00857C5F" w:rsidRDefault="004A33BF" w:rsidP="004A33BF">
      <w:pPr>
        <w:rPr>
          <w:highlight w:val="yellow"/>
          <w:lang w:eastAsia="pl-PL"/>
        </w:rPr>
      </w:pPr>
    </w:p>
    <w:p w14:paraId="638B1EE8" w14:textId="77777777" w:rsidR="0061382C" w:rsidRPr="00857C5F" w:rsidRDefault="0061382C" w:rsidP="0061382C">
      <w:pPr>
        <w:rPr>
          <w:color w:val="404040" w:themeColor="text1" w:themeTint="BF"/>
          <w:highlight w:val="yellow"/>
          <w:lang w:eastAsia="pl-PL"/>
        </w:rPr>
      </w:pPr>
    </w:p>
    <w:p w14:paraId="522620EC" w14:textId="77777777" w:rsidR="00BA1DD3" w:rsidRPr="00857C5F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  <w:highlight w:val="yellow"/>
        </w:rPr>
      </w:pPr>
    </w:p>
    <w:p w14:paraId="4ECE2EA6" w14:textId="103DDC5A" w:rsidR="00BA1DD3" w:rsidRPr="00E573E5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49"/>
      <w:r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3"/>
      <w:r w:rsidR="00DB6C30"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E573E5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61D2CD0F" w:rsidR="00B0232C" w:rsidRPr="00E573E5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Otwarcie ofert następuje niezwłocznie po upływie terminu składania ofert, nie później niż następnego dnia po dniu, w którym upłynął termin składania ofert tj.</w:t>
      </w:r>
      <w:r w:rsidR="00204DE3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7242E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="000D51FB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17242E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9610E7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03</w:t>
      </w:r>
      <w:r w:rsidR="00294597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EF76A0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202</w:t>
      </w:r>
      <w:r w:rsidR="009610E7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4</w:t>
      </w:r>
      <w:r w:rsidR="00294597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EF76A0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r.</w:t>
      </w:r>
    </w:p>
    <w:p w14:paraId="77874343" w14:textId="67F9B134" w:rsidR="00B0232C" w:rsidRPr="00431887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</w:t>
      </w:r>
      <w:r w:rsidR="00B0232C"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377898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 postępowania.</w:t>
      </w:r>
    </w:p>
    <w:p w14:paraId="114D9BBF" w14:textId="77777777" w:rsidR="00B0232C" w:rsidRPr="00377898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377898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377898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377898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377898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5" w:history="1">
        <w:r w:rsidRPr="00377898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377898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377898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857C5F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35F0C639" w14:textId="77777777" w:rsidR="00B30552" w:rsidRPr="00377898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377898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86396650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4"/>
    </w:p>
    <w:p w14:paraId="716C3F65" w14:textId="77777777" w:rsidR="00B30552" w:rsidRPr="00377898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2BD8B866" w:rsidR="00B30552" w:rsidRPr="00E573E5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od dnia upływu terminu składania ofert, przy czym pierwszym dniem terminu związania ofertą jest dzień, w którym upływa termin składania ofert, tj. do dnia </w:t>
      </w:r>
      <w:r w:rsidR="000E4054" w:rsidRPr="00E573E5">
        <w:rPr>
          <w:rFonts w:asciiTheme="minorHAnsi" w:hAnsiTheme="minorHAnsi" w:cstheme="minorHAnsi"/>
          <w:color w:val="404040" w:themeColor="text1" w:themeTint="BF"/>
          <w:sz w:val="20"/>
        </w:rPr>
        <w:t>1</w:t>
      </w:r>
      <w:r w:rsidR="000D51FB" w:rsidRPr="00E573E5">
        <w:rPr>
          <w:rFonts w:asciiTheme="minorHAnsi" w:hAnsiTheme="minorHAnsi" w:cstheme="minorHAnsi"/>
          <w:color w:val="404040" w:themeColor="text1" w:themeTint="BF"/>
          <w:sz w:val="20"/>
        </w:rPr>
        <w:t>6</w:t>
      </w:r>
      <w:r w:rsidR="000E4054" w:rsidRPr="00E573E5">
        <w:rPr>
          <w:rFonts w:asciiTheme="minorHAnsi" w:hAnsiTheme="minorHAnsi" w:cstheme="minorHAnsi"/>
          <w:color w:val="404040" w:themeColor="text1" w:themeTint="BF"/>
          <w:sz w:val="20"/>
        </w:rPr>
        <w:t>.0</w:t>
      </w:r>
      <w:r w:rsidR="009610E7" w:rsidRPr="00E573E5">
        <w:rPr>
          <w:rFonts w:asciiTheme="minorHAnsi" w:hAnsiTheme="minorHAnsi" w:cstheme="minorHAnsi"/>
          <w:color w:val="404040" w:themeColor="text1" w:themeTint="BF"/>
          <w:sz w:val="20"/>
        </w:rPr>
        <w:t>4</w:t>
      </w:r>
      <w:r w:rsidR="000E4054" w:rsidRPr="00E573E5">
        <w:rPr>
          <w:rFonts w:asciiTheme="minorHAnsi" w:hAnsiTheme="minorHAnsi" w:cstheme="minorHAnsi"/>
          <w:color w:val="404040" w:themeColor="text1" w:themeTint="BF"/>
          <w:sz w:val="20"/>
        </w:rPr>
        <w:t>.2024</w:t>
      </w:r>
      <w:r w:rsidRPr="00E573E5">
        <w:rPr>
          <w:rFonts w:asciiTheme="minorHAnsi" w:hAnsiTheme="minorHAnsi" w:cstheme="minorHAnsi"/>
          <w:color w:val="404040" w:themeColor="text1" w:themeTint="BF"/>
          <w:sz w:val="20"/>
        </w:rPr>
        <w:t>r.</w:t>
      </w:r>
    </w:p>
    <w:p w14:paraId="5314E20B" w14:textId="3773DA0D" w:rsidR="00B30552" w:rsidRPr="00377898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</w:rPr>
        <w:t>W przypadku gdy wybór najkorzystniejszej oferty nie nastąpi przed upływem terminu związania ofertą wskazanego w ust. 1, Zamawiający przed upływem terminu związania ofertą zwraca się jednokrotnie do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r w:rsidR="00655D7D" w:rsidRPr="00377898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377898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857C5F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FE2B581" w14:textId="77777777" w:rsidR="0061382C" w:rsidRPr="00377898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6396651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5"/>
    </w:p>
    <w:p w14:paraId="6A31F9AA" w14:textId="77777777" w:rsidR="0061382C" w:rsidRPr="00377898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377898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6" w:name="_Hlk81484135"/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lastRenderedPageBreak/>
        <w:t>Zgodnie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377898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377898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  <w:lang w:eastAsia="pl-PL"/>
        </w:rPr>
        <w:t>Zamawiający</w:t>
      </w:r>
      <w:r w:rsidRPr="00377898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377898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</w:rPr>
        <w:t xml:space="preserve">- dla </w:t>
      </w:r>
      <w:r w:rsidR="008B05D4" w:rsidRPr="00377898">
        <w:rPr>
          <w:rFonts w:asciiTheme="minorHAnsi" w:hAnsiTheme="minorHAnsi" w:cstheme="minorHAnsi"/>
          <w:sz w:val="20"/>
        </w:rPr>
        <w:t>CZĘŚCI</w:t>
      </w:r>
      <w:r w:rsidRPr="00377898">
        <w:rPr>
          <w:rFonts w:asciiTheme="minorHAnsi" w:hAnsiTheme="minorHAnsi" w:cstheme="minorHAnsi"/>
          <w:sz w:val="20"/>
        </w:rPr>
        <w:t xml:space="preserve"> 2 – do </w:t>
      </w:r>
      <w:r w:rsidR="006965B8" w:rsidRPr="00377898">
        <w:rPr>
          <w:rFonts w:asciiTheme="minorHAnsi" w:hAnsiTheme="minorHAnsi" w:cstheme="minorHAnsi"/>
          <w:sz w:val="20"/>
        </w:rPr>
        <w:t>1</w:t>
      </w:r>
      <w:r w:rsidRPr="00377898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6"/>
    <w:p w14:paraId="2D4C6ABF" w14:textId="7C5F31C7" w:rsidR="009C667A" w:rsidRPr="00377898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377898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377898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857C5F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highlight w:val="yellow"/>
        </w:rPr>
      </w:pPr>
    </w:p>
    <w:p w14:paraId="7AF8F932" w14:textId="3C7CE4AE" w:rsidR="0061382C" w:rsidRPr="00377898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2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7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Istotne warunki umowy w sprawie zamówienia publicznego zostały określone we wzorze umowy, który stanowi Załącznik nr 3</w:t>
      </w:r>
      <w:r w:rsidR="00645DAA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857C5F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21C24E8" w14:textId="77777777" w:rsidR="00BA1DD3" w:rsidRPr="00377898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3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8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377898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Pr="00377898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377898" w:rsidRDefault="004A33BF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377898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5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9"/>
    </w:p>
    <w:p w14:paraId="1DB3ABAE" w14:textId="3B1BE6EC" w:rsidR="00BA1DD3" w:rsidRPr="00377898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6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40"/>
    </w:p>
    <w:p w14:paraId="1B4C63B8" w14:textId="77777777" w:rsidR="005C3A5C" w:rsidRPr="00377898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377898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377898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377898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857C5F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  <w:highlight w:val="yellow"/>
        </w:rPr>
      </w:pPr>
    </w:p>
    <w:p w14:paraId="32ACB356" w14:textId="77F2E2D1" w:rsidR="00BA1DD3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7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41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377898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857C5F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  <w:highlight w:val="yellow"/>
        </w:rPr>
      </w:pPr>
    </w:p>
    <w:p w14:paraId="1209AE59" w14:textId="77777777" w:rsidR="00BA1DD3" w:rsidRPr="00377898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58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2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377898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3" w:name="_Toc86396659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3"/>
    </w:p>
    <w:p w14:paraId="21D43127" w14:textId="135460F3" w:rsidR="008B54FE" w:rsidRPr="00377898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377898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377898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377898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377898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377898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4" w:name="_Toc86396660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4"/>
    </w:p>
    <w:p w14:paraId="31D86979" w14:textId="77777777" w:rsidR="005C3A5C" w:rsidRPr="00377898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9B240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5" w:name="_Hlk81483597"/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</w:t>
      </w:r>
      <w:r w:rsidRPr="009B24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(Dz. U. UE L119 z dnia 4 maja 2016 r., str. 1; zwanym dalej „RODO”)</w:t>
      </w:r>
      <w:r w:rsidR="008716B1" w:rsidRPr="009B24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5ACA8780" w:rsidR="008B54FE" w:rsidRPr="009B2401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sz w:val="20"/>
          <w:szCs w:val="20"/>
        </w:rPr>
      </w:pPr>
      <w:r w:rsidRPr="009B2401">
        <w:rPr>
          <w:rFonts w:asciiTheme="minorHAnsi" w:hAnsiTheme="minorHAnsi" w:cstheme="minorHAnsi"/>
          <w:sz w:val="20"/>
          <w:szCs w:val="20"/>
        </w:rPr>
        <w:t xml:space="preserve">administrator wyznaczył Inspektora Danych Osobowych, z którym można się kontaktować pod adresem e-mail: </w:t>
      </w:r>
      <w:r w:rsidR="009B2401" w:rsidRPr="009B2401">
        <w:rPr>
          <w:rFonts w:asciiTheme="minorHAnsi" w:hAnsiTheme="minorHAnsi" w:cstheme="minorHAnsi"/>
          <w:sz w:val="20"/>
          <w:szCs w:val="20"/>
        </w:rPr>
        <w:t xml:space="preserve"> iod@szpital.jaworzno.pl</w:t>
      </w:r>
    </w:p>
    <w:p w14:paraId="5CDEF69C" w14:textId="488C5E47" w:rsidR="008B54FE" w:rsidRPr="00377898" w:rsidRDefault="008B54FE" w:rsidP="00D04321">
      <w:pPr>
        <w:ind w:left="426"/>
        <w:jc w:val="both"/>
        <w:rPr>
          <w:rFonts w:ascii="Calibri" w:hAnsi="Calibri" w:cs="Calibri"/>
          <w:b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sprawy:</w:t>
      </w:r>
      <w:r w:rsidR="00294597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0E4054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04/ZP/2023</w:t>
      </w:r>
      <w:r w:rsidR="0001305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ubezpieczenia „ </w:t>
      </w:r>
      <w:r w:rsidR="00377898" w:rsidRPr="00377898">
        <w:rPr>
          <w:rFonts w:asciiTheme="minorHAnsi" w:hAnsiTheme="minorHAnsi"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="0001305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odniesieniu do Pani/Pana danych osobowych decyzje nie będą podejmowane w sposób zautomatyzowany, stosownie do art. 22 RODO.</w:t>
      </w:r>
    </w:p>
    <w:p w14:paraId="4BD13724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37789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7789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37789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377898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377898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377898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5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D311B2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02BC" w14:textId="77777777" w:rsidR="00D311B2" w:rsidRDefault="00D311B2" w:rsidP="00BA1DD3">
      <w:r>
        <w:separator/>
      </w:r>
    </w:p>
  </w:endnote>
  <w:endnote w:type="continuationSeparator" w:id="0">
    <w:p w14:paraId="5617A7EC" w14:textId="77777777" w:rsidR="00D311B2" w:rsidRDefault="00D311B2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702B" w14:textId="77777777" w:rsidR="00D311B2" w:rsidRDefault="00D311B2" w:rsidP="00BA1DD3">
      <w:r>
        <w:separator/>
      </w:r>
    </w:p>
  </w:footnote>
  <w:footnote w:type="continuationSeparator" w:id="0">
    <w:p w14:paraId="29500C0E" w14:textId="77777777" w:rsidR="00D311B2" w:rsidRDefault="00D311B2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C68" w14:textId="4E1F2443" w:rsidR="00FF2B70" w:rsidRPr="002013C3" w:rsidRDefault="00FF2B70" w:rsidP="00FF2B70">
    <w:pPr>
      <w:suppressAutoHyphens w:val="0"/>
      <w:rPr>
        <w:rFonts w:ascii="Calibri" w:hAnsi="Calibri" w:cs="Calibri"/>
        <w:bCs/>
        <w:i/>
        <w:iCs/>
        <w:sz w:val="16"/>
        <w:szCs w:val="16"/>
      </w:rPr>
    </w:pPr>
    <w:r>
      <w:rPr>
        <w:rFonts w:ascii="Calibri" w:hAnsi="Calibri" w:cs="Calibri"/>
        <w:bCs/>
        <w:i/>
        <w:iCs/>
        <w:sz w:val="16"/>
        <w:szCs w:val="16"/>
      </w:rPr>
      <w:t xml:space="preserve">SAMODZIELNY PUBLICZNY ZAKŁAD OPIEKI ZDROWOTNEJ – </w:t>
    </w:r>
    <w:r w:rsidR="00857C5F">
      <w:rPr>
        <w:rFonts w:ascii="Calibri" w:hAnsi="Calibri" w:cs="Calibri"/>
        <w:bCs/>
        <w:i/>
        <w:iCs/>
        <w:sz w:val="16"/>
        <w:szCs w:val="16"/>
      </w:rPr>
      <w:t>SZPITAL WIELOSP</w:t>
    </w:r>
    <w:r w:rsidR="005606AC">
      <w:rPr>
        <w:rFonts w:ascii="Calibri" w:hAnsi="Calibri" w:cs="Calibri"/>
        <w:bCs/>
        <w:i/>
        <w:iCs/>
        <w:sz w:val="16"/>
        <w:szCs w:val="16"/>
      </w:rPr>
      <w:t>E</w:t>
    </w:r>
    <w:r w:rsidR="00857C5F">
      <w:rPr>
        <w:rFonts w:ascii="Calibri" w:hAnsi="Calibri" w:cs="Calibri"/>
        <w:bCs/>
        <w:i/>
        <w:iCs/>
        <w:sz w:val="16"/>
        <w:szCs w:val="16"/>
      </w:rPr>
      <w:t>CJALISTYCZNY W JAWORZNIE</w:t>
    </w:r>
  </w:p>
  <w:p w14:paraId="3768E1A6" w14:textId="5198944B" w:rsidR="00FF2B70" w:rsidRPr="002013C3" w:rsidRDefault="00FF2B70" w:rsidP="00FF2B70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22CA7BA" w14:textId="5FDB40E5" w:rsidR="0052258F" w:rsidRPr="00F3030C" w:rsidRDefault="00FF2B70" w:rsidP="00B96E57">
    <w:pPr>
      <w:pStyle w:val="Bezodstpw"/>
      <w:rPr>
        <w:rFonts w:ascii="Calibri" w:hAnsi="Calibri" w:cs="Calibri"/>
        <w:sz w:val="16"/>
        <w:szCs w:val="16"/>
        <w:lang w:eastAsia="ar-SA"/>
      </w:rPr>
    </w:pPr>
    <w:r w:rsidRPr="008A2C51">
      <w:rPr>
        <w:rFonts w:ascii="Calibri" w:hAnsi="Calibri"/>
        <w:color w:val="0D0D0D"/>
        <w:sz w:val="16"/>
        <w:szCs w:val="16"/>
      </w:rPr>
      <w:t>nr sprawy</w:t>
    </w:r>
    <w:r w:rsidR="00431887" w:rsidRPr="00431887">
      <w:rPr>
        <w:rFonts w:ascii="Calibri" w:hAnsi="Calibri" w:cs="Calibri"/>
        <w:sz w:val="20"/>
        <w:szCs w:val="20"/>
      </w:rPr>
      <w:t xml:space="preserve"> </w:t>
    </w:r>
    <w:r w:rsidR="00431887" w:rsidRPr="00431887">
      <w:rPr>
        <w:rFonts w:ascii="Calibri" w:hAnsi="Calibri"/>
        <w:color w:val="0D0D0D"/>
        <w:sz w:val="16"/>
        <w:szCs w:val="16"/>
      </w:rPr>
      <w:t>SZP.III.240/11/24/P</w:t>
    </w: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2612462"/>
    <w:multiLevelType w:val="multilevel"/>
    <w:tmpl w:val="E4926D6A"/>
    <w:lvl w:ilvl="0">
      <w:start w:val="1"/>
      <w:numFmt w:val="upperLetter"/>
      <w:lvlText w:val="%1."/>
      <w:lvlJc w:val="left"/>
      <w:pPr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2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5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7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0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1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2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6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9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7"/>
  </w:num>
  <w:num w:numId="7" w16cid:durableId="2144882776">
    <w:abstractNumId w:val="37"/>
  </w:num>
  <w:num w:numId="8" w16cid:durableId="121116349">
    <w:abstractNumId w:val="30"/>
  </w:num>
  <w:num w:numId="9" w16cid:durableId="298608354">
    <w:abstractNumId w:val="2"/>
  </w:num>
  <w:num w:numId="10" w16cid:durableId="88282723">
    <w:abstractNumId w:val="27"/>
  </w:num>
  <w:num w:numId="11" w16cid:durableId="556169765">
    <w:abstractNumId w:val="39"/>
  </w:num>
  <w:num w:numId="12" w16cid:durableId="1113093131">
    <w:abstractNumId w:val="11"/>
  </w:num>
  <w:num w:numId="13" w16cid:durableId="1446462197">
    <w:abstractNumId w:val="24"/>
  </w:num>
  <w:num w:numId="14" w16cid:durableId="897282118">
    <w:abstractNumId w:val="18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5"/>
  </w:num>
  <w:num w:numId="18" w16cid:durableId="6784363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1"/>
  </w:num>
  <w:num w:numId="20" w16cid:durableId="280193066">
    <w:abstractNumId w:val="15"/>
  </w:num>
  <w:num w:numId="21" w16cid:durableId="859659848">
    <w:abstractNumId w:val="6"/>
  </w:num>
  <w:num w:numId="22" w16cid:durableId="247428319">
    <w:abstractNumId w:val="28"/>
  </w:num>
  <w:num w:numId="23" w16cid:durableId="879056010">
    <w:abstractNumId w:val="29"/>
  </w:num>
  <w:num w:numId="24" w16cid:durableId="1327053393">
    <w:abstractNumId w:val="19"/>
  </w:num>
  <w:num w:numId="25" w16cid:durableId="2136242983">
    <w:abstractNumId w:val="22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6"/>
  </w:num>
  <w:num w:numId="27" w16cid:durableId="17000837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2"/>
  </w:num>
  <w:num w:numId="30" w16cid:durableId="1700086773">
    <w:abstractNumId w:val="36"/>
  </w:num>
  <w:num w:numId="31" w16cid:durableId="1150710106">
    <w:abstractNumId w:val="7"/>
  </w:num>
  <w:num w:numId="32" w16cid:durableId="1138109201">
    <w:abstractNumId w:val="20"/>
  </w:num>
  <w:num w:numId="33" w16cid:durableId="317345771">
    <w:abstractNumId w:val="12"/>
  </w:num>
  <w:num w:numId="34" w16cid:durableId="353773816">
    <w:abstractNumId w:val="33"/>
  </w:num>
  <w:num w:numId="35" w16cid:durableId="2059814863">
    <w:abstractNumId w:val="21"/>
  </w:num>
  <w:num w:numId="36" w16cid:durableId="145783461">
    <w:abstractNumId w:val="10"/>
  </w:num>
  <w:num w:numId="37" w16cid:durableId="1970889491">
    <w:abstractNumId w:val="38"/>
  </w:num>
  <w:num w:numId="38" w16cid:durableId="877012957">
    <w:abstractNumId w:val="38"/>
  </w:num>
  <w:num w:numId="39" w16cid:durableId="2023823850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46D8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0D51FB"/>
    <w:rsid w:val="000E4054"/>
    <w:rsid w:val="00103737"/>
    <w:rsid w:val="00121A53"/>
    <w:rsid w:val="001223C8"/>
    <w:rsid w:val="00130231"/>
    <w:rsid w:val="0013253E"/>
    <w:rsid w:val="00140F21"/>
    <w:rsid w:val="00145253"/>
    <w:rsid w:val="00147098"/>
    <w:rsid w:val="0014722E"/>
    <w:rsid w:val="001547D2"/>
    <w:rsid w:val="00156F05"/>
    <w:rsid w:val="00161F59"/>
    <w:rsid w:val="00162718"/>
    <w:rsid w:val="0017242E"/>
    <w:rsid w:val="00173A6D"/>
    <w:rsid w:val="00174A0F"/>
    <w:rsid w:val="00185E7A"/>
    <w:rsid w:val="001865A0"/>
    <w:rsid w:val="00194729"/>
    <w:rsid w:val="00195CDA"/>
    <w:rsid w:val="001A047D"/>
    <w:rsid w:val="001A061D"/>
    <w:rsid w:val="001A4378"/>
    <w:rsid w:val="001A4A9C"/>
    <w:rsid w:val="001A61F3"/>
    <w:rsid w:val="001B4383"/>
    <w:rsid w:val="001B571B"/>
    <w:rsid w:val="001C1EAD"/>
    <w:rsid w:val="001C244A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5696F"/>
    <w:rsid w:val="00263B32"/>
    <w:rsid w:val="002676ED"/>
    <w:rsid w:val="00275D1D"/>
    <w:rsid w:val="00281B77"/>
    <w:rsid w:val="00282090"/>
    <w:rsid w:val="00286364"/>
    <w:rsid w:val="0029414D"/>
    <w:rsid w:val="00294597"/>
    <w:rsid w:val="002A2C62"/>
    <w:rsid w:val="002B5EC3"/>
    <w:rsid w:val="002B6043"/>
    <w:rsid w:val="002B6C06"/>
    <w:rsid w:val="002B799E"/>
    <w:rsid w:val="002C2732"/>
    <w:rsid w:val="002C5A80"/>
    <w:rsid w:val="002D6BB0"/>
    <w:rsid w:val="002D7E92"/>
    <w:rsid w:val="002F7F97"/>
    <w:rsid w:val="00300DD3"/>
    <w:rsid w:val="003115FA"/>
    <w:rsid w:val="00320B67"/>
    <w:rsid w:val="0032564F"/>
    <w:rsid w:val="0033237E"/>
    <w:rsid w:val="00335EDD"/>
    <w:rsid w:val="00341BA5"/>
    <w:rsid w:val="00353047"/>
    <w:rsid w:val="0036328B"/>
    <w:rsid w:val="00365AD8"/>
    <w:rsid w:val="00374F55"/>
    <w:rsid w:val="00377898"/>
    <w:rsid w:val="00383DE8"/>
    <w:rsid w:val="003905A5"/>
    <w:rsid w:val="00395C5D"/>
    <w:rsid w:val="003A71F8"/>
    <w:rsid w:val="003B7224"/>
    <w:rsid w:val="003E0F14"/>
    <w:rsid w:val="004005D3"/>
    <w:rsid w:val="00403246"/>
    <w:rsid w:val="0040493F"/>
    <w:rsid w:val="0041729F"/>
    <w:rsid w:val="0042407F"/>
    <w:rsid w:val="00425FE4"/>
    <w:rsid w:val="00426E76"/>
    <w:rsid w:val="004304DD"/>
    <w:rsid w:val="00431887"/>
    <w:rsid w:val="004341B5"/>
    <w:rsid w:val="00456983"/>
    <w:rsid w:val="00457E45"/>
    <w:rsid w:val="004642ED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2C83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6AC"/>
    <w:rsid w:val="00560930"/>
    <w:rsid w:val="005651D8"/>
    <w:rsid w:val="005721DA"/>
    <w:rsid w:val="00574E8A"/>
    <w:rsid w:val="005770FD"/>
    <w:rsid w:val="0058163D"/>
    <w:rsid w:val="00583518"/>
    <w:rsid w:val="005904A3"/>
    <w:rsid w:val="005B352C"/>
    <w:rsid w:val="005C3A5C"/>
    <w:rsid w:val="005C50D3"/>
    <w:rsid w:val="005D1813"/>
    <w:rsid w:val="005D5F03"/>
    <w:rsid w:val="005D7EDA"/>
    <w:rsid w:val="005E07D4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42F5C"/>
    <w:rsid w:val="00644B51"/>
    <w:rsid w:val="00645B3C"/>
    <w:rsid w:val="00645DAA"/>
    <w:rsid w:val="00646ACA"/>
    <w:rsid w:val="006539CF"/>
    <w:rsid w:val="00655D7D"/>
    <w:rsid w:val="00665984"/>
    <w:rsid w:val="00665AAE"/>
    <w:rsid w:val="0066793F"/>
    <w:rsid w:val="00672AFB"/>
    <w:rsid w:val="0068210B"/>
    <w:rsid w:val="0068577A"/>
    <w:rsid w:val="006868BB"/>
    <w:rsid w:val="00687847"/>
    <w:rsid w:val="006878F2"/>
    <w:rsid w:val="006948C2"/>
    <w:rsid w:val="006965B8"/>
    <w:rsid w:val="0069797A"/>
    <w:rsid w:val="006A62CC"/>
    <w:rsid w:val="006A6933"/>
    <w:rsid w:val="006A707B"/>
    <w:rsid w:val="006C0F0F"/>
    <w:rsid w:val="006C2B18"/>
    <w:rsid w:val="006C3EC4"/>
    <w:rsid w:val="006C65D1"/>
    <w:rsid w:val="006C6F14"/>
    <w:rsid w:val="006D2E35"/>
    <w:rsid w:val="006E2184"/>
    <w:rsid w:val="006E3BD2"/>
    <w:rsid w:val="006F380F"/>
    <w:rsid w:val="006F7A06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5FC7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57C5F"/>
    <w:rsid w:val="00865E6F"/>
    <w:rsid w:val="008716B1"/>
    <w:rsid w:val="00880A28"/>
    <w:rsid w:val="0088175D"/>
    <w:rsid w:val="00886051"/>
    <w:rsid w:val="008868CF"/>
    <w:rsid w:val="00886E99"/>
    <w:rsid w:val="008874BB"/>
    <w:rsid w:val="008919D7"/>
    <w:rsid w:val="008A1AB6"/>
    <w:rsid w:val="008B05D4"/>
    <w:rsid w:val="008B49C8"/>
    <w:rsid w:val="008B54FE"/>
    <w:rsid w:val="008B6FDE"/>
    <w:rsid w:val="008D281F"/>
    <w:rsid w:val="008E3008"/>
    <w:rsid w:val="008E3609"/>
    <w:rsid w:val="008E48D7"/>
    <w:rsid w:val="008F434B"/>
    <w:rsid w:val="00903A95"/>
    <w:rsid w:val="00913103"/>
    <w:rsid w:val="009200ED"/>
    <w:rsid w:val="009310D6"/>
    <w:rsid w:val="00931819"/>
    <w:rsid w:val="009338B2"/>
    <w:rsid w:val="00935675"/>
    <w:rsid w:val="009404AD"/>
    <w:rsid w:val="00940977"/>
    <w:rsid w:val="00950A52"/>
    <w:rsid w:val="00956264"/>
    <w:rsid w:val="009610E7"/>
    <w:rsid w:val="0096415D"/>
    <w:rsid w:val="0097590B"/>
    <w:rsid w:val="00976373"/>
    <w:rsid w:val="009834DD"/>
    <w:rsid w:val="00985CAB"/>
    <w:rsid w:val="00997462"/>
    <w:rsid w:val="00997EA9"/>
    <w:rsid w:val="009B2401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5540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B3F73"/>
    <w:rsid w:val="00AC0800"/>
    <w:rsid w:val="00AD4763"/>
    <w:rsid w:val="00AE20F6"/>
    <w:rsid w:val="00AE690B"/>
    <w:rsid w:val="00AF086C"/>
    <w:rsid w:val="00B01770"/>
    <w:rsid w:val="00B0232C"/>
    <w:rsid w:val="00B145E9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80114"/>
    <w:rsid w:val="00B92EEE"/>
    <w:rsid w:val="00B96E57"/>
    <w:rsid w:val="00BA1DD3"/>
    <w:rsid w:val="00BB142C"/>
    <w:rsid w:val="00BB32B4"/>
    <w:rsid w:val="00BB3F33"/>
    <w:rsid w:val="00BD7029"/>
    <w:rsid w:val="00BF56F2"/>
    <w:rsid w:val="00BF5924"/>
    <w:rsid w:val="00BF6B5B"/>
    <w:rsid w:val="00C00CC7"/>
    <w:rsid w:val="00C02679"/>
    <w:rsid w:val="00C04C2F"/>
    <w:rsid w:val="00C10EBB"/>
    <w:rsid w:val="00C12355"/>
    <w:rsid w:val="00C207AC"/>
    <w:rsid w:val="00C22BDF"/>
    <w:rsid w:val="00C26242"/>
    <w:rsid w:val="00C46F09"/>
    <w:rsid w:val="00C5099F"/>
    <w:rsid w:val="00C55771"/>
    <w:rsid w:val="00C5590B"/>
    <w:rsid w:val="00C80ED4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04321"/>
    <w:rsid w:val="00D16C2A"/>
    <w:rsid w:val="00D24463"/>
    <w:rsid w:val="00D254D5"/>
    <w:rsid w:val="00D311B2"/>
    <w:rsid w:val="00D3723B"/>
    <w:rsid w:val="00D3734E"/>
    <w:rsid w:val="00D37F61"/>
    <w:rsid w:val="00D45FBE"/>
    <w:rsid w:val="00D530E3"/>
    <w:rsid w:val="00D54FEE"/>
    <w:rsid w:val="00D60F44"/>
    <w:rsid w:val="00D641FE"/>
    <w:rsid w:val="00D7523C"/>
    <w:rsid w:val="00D754E5"/>
    <w:rsid w:val="00D83155"/>
    <w:rsid w:val="00D85416"/>
    <w:rsid w:val="00DA29A7"/>
    <w:rsid w:val="00DA351D"/>
    <w:rsid w:val="00DA415F"/>
    <w:rsid w:val="00DB0135"/>
    <w:rsid w:val="00DB16A3"/>
    <w:rsid w:val="00DB2828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573E5"/>
    <w:rsid w:val="00E66DDA"/>
    <w:rsid w:val="00E67B12"/>
    <w:rsid w:val="00E83BAC"/>
    <w:rsid w:val="00E87CA3"/>
    <w:rsid w:val="00E92E03"/>
    <w:rsid w:val="00E95A56"/>
    <w:rsid w:val="00EA2EC1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464E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  <w:rsid w:val="00FF1A5C"/>
    <w:rsid w:val="00FF2316"/>
    <w:rsid w:val="00FF2B7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p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ama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biuro@tamal.com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8615</Words>
  <Characters>51692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48</cp:revision>
  <cp:lastPrinted>2021-11-02T12:25:00Z</cp:lastPrinted>
  <dcterms:created xsi:type="dcterms:W3CDTF">2023-10-09T11:27:00Z</dcterms:created>
  <dcterms:modified xsi:type="dcterms:W3CDTF">2024-03-08T10:19:00Z</dcterms:modified>
</cp:coreProperties>
</file>