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B30" w:rsidRPr="00F412E8" w:rsidRDefault="00853B30" w:rsidP="00853B30">
      <w:pPr>
        <w:spacing w:after="0" w:line="360" w:lineRule="auto"/>
        <w:ind w:right="-142"/>
        <w:rPr>
          <w:rFonts w:ascii="Calibri" w:eastAsia="Calibri" w:hAnsi="Calibri" w:cs="Calibri"/>
          <w:b/>
          <w:bCs/>
          <w:sz w:val="24"/>
          <w:szCs w:val="24"/>
        </w:rPr>
      </w:pPr>
      <w:r w:rsidRPr="00F412E8">
        <w:rPr>
          <w:rFonts w:ascii="Calibri" w:eastAsia="Calibri" w:hAnsi="Calibri" w:cs="Calibri"/>
          <w:b/>
          <w:bCs/>
          <w:sz w:val="24"/>
          <w:szCs w:val="24"/>
        </w:rPr>
        <w:t xml:space="preserve">ZP/147/2022 </w:t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załącznik nr 2</w:t>
      </w:r>
      <w:r w:rsidR="00BB1FF2" w:rsidRPr="00F412E8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F412E8">
        <w:rPr>
          <w:rFonts w:ascii="Calibri" w:eastAsia="Calibri" w:hAnsi="Calibri" w:cs="Calibri"/>
          <w:b/>
          <w:bCs/>
          <w:sz w:val="24"/>
          <w:szCs w:val="24"/>
        </w:rPr>
        <w:t xml:space="preserve"> do SWZ</w:t>
      </w:r>
    </w:p>
    <w:p w:rsidR="00853B30" w:rsidRPr="00F412E8" w:rsidRDefault="00853B30" w:rsidP="00F412E8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eastAsia="pl-PL"/>
        </w:rPr>
      </w:pPr>
    </w:p>
    <w:p w:rsidR="00853B30" w:rsidRPr="00F412E8" w:rsidRDefault="00853B30" w:rsidP="00F412E8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F412E8">
        <w:rPr>
          <w:rFonts w:ascii="Calibri" w:eastAsia="Arial" w:hAnsi="Calibri" w:cs="Calibri"/>
          <w:b/>
          <w:sz w:val="24"/>
          <w:szCs w:val="24"/>
          <w:lang w:eastAsia="pl-PL"/>
        </w:rPr>
        <w:t>Pakiet I</w:t>
      </w:r>
      <w:r w:rsidR="00BB1FF2" w:rsidRPr="00F412E8">
        <w:rPr>
          <w:rFonts w:ascii="Calibri" w:eastAsia="Arial" w:hAnsi="Calibri" w:cs="Calibri"/>
          <w:b/>
          <w:sz w:val="24"/>
          <w:szCs w:val="24"/>
          <w:lang w:eastAsia="pl-PL"/>
        </w:rPr>
        <w:t>I</w:t>
      </w:r>
    </w:p>
    <w:p w:rsidR="00853B30" w:rsidRPr="00F412E8" w:rsidRDefault="00853B30" w:rsidP="00F412E8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F412E8">
        <w:rPr>
          <w:rFonts w:ascii="Calibri" w:eastAsia="Arial" w:hAnsi="Calibri" w:cs="Calibri"/>
          <w:b/>
          <w:sz w:val="24"/>
          <w:szCs w:val="24"/>
          <w:lang w:eastAsia="pl-PL"/>
        </w:rPr>
        <w:t>Opis przedmiotu zamówienia</w:t>
      </w:r>
    </w:p>
    <w:p w:rsidR="00BB1FF2" w:rsidRPr="00F412E8" w:rsidRDefault="00BB1FF2" w:rsidP="00F412E8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F412E8">
        <w:rPr>
          <w:rFonts w:ascii="Calibri" w:eastAsia="Calibri" w:hAnsi="Calibri" w:cs="Calibri"/>
          <w:b/>
          <w:sz w:val="24"/>
          <w:szCs w:val="24"/>
        </w:rPr>
        <w:t>Symulator pacjenta dorosłego</w:t>
      </w:r>
      <w:r w:rsidR="008023E8" w:rsidRPr="00F412E8">
        <w:rPr>
          <w:rFonts w:ascii="Calibri" w:eastAsia="Calibri" w:hAnsi="Calibri" w:cs="Calibri"/>
          <w:b/>
          <w:sz w:val="24"/>
          <w:szCs w:val="24"/>
        </w:rPr>
        <w:t xml:space="preserve"> urazowy</w:t>
      </w:r>
    </w:p>
    <w:p w:rsidR="00853B30" w:rsidRPr="00F412E8" w:rsidRDefault="00853B30" w:rsidP="00F412E8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F412E8">
        <w:rPr>
          <w:rFonts w:ascii="Calibri" w:eastAsia="Calibri" w:hAnsi="Calibri" w:cs="Calibri"/>
          <w:b/>
          <w:sz w:val="24"/>
          <w:szCs w:val="24"/>
        </w:rPr>
        <w:t>Producent …………………………………</w:t>
      </w:r>
    </w:p>
    <w:p w:rsidR="00853B30" w:rsidRPr="00F412E8" w:rsidRDefault="00853B30" w:rsidP="00F412E8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F412E8">
        <w:rPr>
          <w:rFonts w:ascii="Calibri" w:eastAsia="Calibri" w:hAnsi="Calibri" w:cs="Calibri"/>
          <w:b/>
          <w:sz w:val="24"/>
          <w:szCs w:val="24"/>
        </w:rPr>
        <w:t>Model ……………………………</w:t>
      </w:r>
    </w:p>
    <w:p w:rsidR="00853B30" w:rsidRPr="00F412E8" w:rsidRDefault="00853B30" w:rsidP="00F412E8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F412E8">
        <w:rPr>
          <w:rFonts w:ascii="Calibri" w:eastAsia="Calibri" w:hAnsi="Calibri" w:cs="Calibri"/>
          <w:b/>
          <w:sz w:val="24"/>
          <w:szCs w:val="24"/>
        </w:rPr>
        <w:t>Rok produkcji ………..</w:t>
      </w:r>
    </w:p>
    <w:p w:rsidR="00853B30" w:rsidRPr="00F412E8" w:rsidRDefault="00853B30" w:rsidP="00F412E8">
      <w:pPr>
        <w:spacing w:after="0" w:line="360" w:lineRule="auto"/>
        <w:rPr>
          <w:rFonts w:ascii="Calibri" w:hAnsi="Calibri" w:cs="Calibri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9"/>
        <w:gridCol w:w="6"/>
        <w:gridCol w:w="18"/>
        <w:gridCol w:w="6378"/>
        <w:gridCol w:w="6"/>
        <w:gridCol w:w="31"/>
        <w:gridCol w:w="2976"/>
      </w:tblGrid>
      <w:tr w:rsidR="00E3671F" w:rsidRPr="00F412E8" w:rsidTr="001B5CAA">
        <w:tc>
          <w:tcPr>
            <w:tcW w:w="650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40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Parametry wymagane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Parametry oferowane</w:t>
            </w:r>
          </w:p>
        </w:tc>
      </w:tr>
      <w:tr w:rsidR="00BB1FF2" w:rsidRPr="00F412E8" w:rsidTr="00E3671F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DANE PODSTAWOWE</w:t>
            </w:r>
          </w:p>
        </w:tc>
      </w:tr>
      <w:tr w:rsidR="00E3671F" w:rsidRPr="00F412E8" w:rsidTr="002C0F6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Zaawansowany, bezprzewodowy symulator dorosłego człowieka odwzorowujący cechy ciała ludzkiego, takie jak wygląd, wzrost oraz fizjologiczny zakres ruchów w stawach kończyn górnych, miednicy (zginanie w pasie) oraz kończyn dolnych.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2794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całkowicie bezprzewodowej symulacji, bez jakichkolwiek podłączeń elektrycznych oraz pneumatycznych.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507DA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konfiguracji sieci bezprzewodowej w paśmie 2,4 GHz i/lub 5 GHz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41E2E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pracy symulatora z zasilaniem z sieci 230V i komunikacją przewodową poprzez Ethernet LAN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76AAC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Możliwość, co najmniej czterech godzin pracy bez konieczności doładowywania akumulatorów, zarówno w symulatorze, systemie sterowania, jak i monitorze pacjenta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color w:val="0070C0"/>
              </w:rPr>
            </w:pPr>
          </w:p>
        </w:tc>
      </w:tr>
      <w:tr w:rsidR="00E3671F" w:rsidRPr="00F412E8" w:rsidTr="0038052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współpracy symulatora z system symulacji i wyświetlania USG z realnymi obrazami do procedur FAST,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eFasT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, RUSH pokazywanymi na monitorze USG lub komputerze zgodnie z </w:t>
            </w:r>
            <w:r w:rsidRPr="00F412E8">
              <w:rPr>
                <w:rFonts w:ascii="Calibri" w:hAnsi="Calibri" w:cs="Calibri"/>
                <w:bCs/>
              </w:rPr>
              <w:lastRenderedPageBreak/>
              <w:t>anatomią: to znaczy przy kontroli odpowiednich miejsc na skórze symulatora, np. poprzez specjalne czujniki określające miejsce przyłożenia głowicy USG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A7752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7B4D65">
        <w:trPr>
          <w:cantSplit/>
        </w:trPr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pracy symulatora w trybie automatycznym, gdzie podawane dawki leków i wykonywane czynności medyczne zmieniają stan „</w:t>
            </w:r>
            <w:r w:rsidRPr="00F412E8">
              <w:rPr>
                <w:rFonts w:ascii="Calibri" w:hAnsi="Calibri" w:cs="Calibri"/>
                <w:bCs/>
                <w:i/>
                <w:iCs/>
              </w:rPr>
              <w:t>pacjenta</w:t>
            </w:r>
            <w:r w:rsidRPr="00F412E8">
              <w:rPr>
                <w:rFonts w:ascii="Calibri" w:hAnsi="Calibri" w:cs="Calibri"/>
                <w:bCs/>
              </w:rPr>
              <w:t>” zgodnie z uruchomionym scenariuszem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33AE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pracy symulatora w trybie sterowanym przez instruktora, który zgodnie z posiadaną wiedzą może modyfikować efekty działania poszczególnych leków i wykonanych czynności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D636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Opcjonalnie wymienne skóry twarzy pozwalające np. na symulację osoby starszej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266B6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Pocenie się, wypływ symulowanego płynu mózgowo -rdzeniowego, łzawienie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1779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Mruganie – wolne, szybkie, prawidłowe - oczy sterowane niezależnie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B18B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Reaktywne źrenice, możliwość ustawienia czasu reakcji na światło i poziomu rozszerzenia źrenicy niezależnie dla każdego z oczu. Rejestracja i informacja w logu badania źrenic.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62E42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symulacji drgawek (kloniczne i toniczno-kloniczne)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830F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Ubranie dla osoby dorosłej, spodnie oraz koszula/bluzka rozpinane po całej długości na zamki błyskawiczne. Ubranie dołączone do symulatora nie powoduje zabrudzeń na jego silikonowej skórze.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765B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Walizki/torby umożliwiające bezpieczny transport symulatora.</w:t>
            </w:r>
            <w:r w:rsidRPr="00F412E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9089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Do symulatora dołączony zestaw baterii zapasowych pozwalający na ich dwukrotną wymianę. Baterie zapasowe będą dostarczone przez wykonawcę dopiero na wezwanie ze strony zamawiającego ( w ciągu maksymalnie czterech tygodni od powiadomienia o zaistnieniu konieczności wymiany)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C5069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Do symulatora dołączony zestaw kabli (sztuk 1) do monitorowania pacjenta oraz zestaw elektrod do elektroterapii (sztuk 20) kompatybilne z symulatorem oraz defibrylatorem wskazanym przez zamawiającego.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UKŁAD ODDECHOWY</w:t>
            </w:r>
          </w:p>
        </w:tc>
      </w:tr>
      <w:tr w:rsidR="00E3671F" w:rsidRPr="00F412E8" w:rsidTr="001D010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C5D66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Otwór w tchawicy wraz z wymienialną skórą umożliwiające wykonanie konikotomii 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konikopunkcji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. Możliwość przeprowadzenia wielokrotnej konikotomii 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konikopunkcji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bez potrzeby wymiany skóry głowy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6C7792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prowadzenia standardowych czynności z zakresu ACLS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C489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Wywołanie niedrożności dróg oddechowych – rejestracja udrożnienie dróg oddechowych podczas odchylenie głowy i uniesienie żuchwy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0125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Wentylacja przez maskę twarzową z użyciem worka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samorozprężalnego</w:t>
            </w:r>
            <w:proofErr w:type="spellEnd"/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6626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Zakładanie rurek ustno-gardłowych i nosowo-gardłowych i prowadzenie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2A3F3E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Zakładanie rurek intubacyjnych i prowadzenie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D703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Zakładanie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Combitube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i prowadzenie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726EF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Zakładanie masek krtaniowych i prowadzenie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E34C0">
        <w:tc>
          <w:tcPr>
            <w:tcW w:w="611" w:type="dxa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78" w:type="dxa"/>
            <w:gridSpan w:val="6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Intubacja z wykorzystaniem różnych rodzajów prowadnic, w tym światłowodowych. 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F258D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wentylacji po wykonaniu konikotomii 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konikopunkcji</w:t>
            </w:r>
            <w:proofErr w:type="spellEnd"/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74747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wykonania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ekstubacji</w:t>
            </w:r>
            <w:proofErr w:type="spellEnd"/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35211">
        <w:trPr>
          <w:cantSplit/>
        </w:trPr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Oznaki oddechu spontanicznego, unoszenie się i opadanie klatki piersiowej, niezależnie dla każdego płuca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D58C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osłuchiwania szmerów oddechowych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A2B8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ustawienia i monitorowania wydechowego przepływu CO</w:t>
            </w:r>
            <w:r w:rsidRPr="00F412E8">
              <w:rPr>
                <w:rFonts w:ascii="Calibri" w:hAnsi="Calibri" w:cs="Calibri"/>
                <w:bCs/>
                <w:vertAlign w:val="subscript"/>
              </w:rPr>
              <w:t>2</w:t>
            </w:r>
            <w:r w:rsidRPr="00F412E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A05DA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Ustawiane częstości oddechu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F8010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wywołania niedrożności górnych dróg oddechowych na poziomie gardła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0509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wywołania obrzęku języka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1D073E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wywołania szczękościsku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52EB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wywołania skurczu krtani z pełnym zamknięciem strun głosowych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A2F2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ograniczenia zakresu ruchów szyi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D548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zmiany podatności płuc na kilku poziomach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4021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symulacji nadmuchiwania żołądka przy nieprawidłowej intubacji i wentylacji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930F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obustronnego odbarczenia odmy opłucnowej.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B405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założenia drenażu jamy opłucnej.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F61667">
        <w:tc>
          <w:tcPr>
            <w:tcW w:w="6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8" w:type="dxa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Własne niezależne wewnętrzne źródło zasilania manekina w powietrze do funkcji oddechowych i pneumatycznych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UKŁAD KRĄŻENIA</w:t>
            </w:r>
          </w:p>
        </w:tc>
      </w:tr>
      <w:tr w:rsidR="00E3671F" w:rsidRPr="00F412E8" w:rsidTr="00C2465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Oprogramowanie zawierające bibliotekę minimum 30 rytmów pracy serca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3671F">
        <w:trPr>
          <w:trHeight w:val="752"/>
        </w:trPr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Częstość pracy serca w zapisie EKG w zakresie nie mniejszym niż 0-180/min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C12DE6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generowania minimum trzech rodzajów skurczów dodatkowych w zapisie EKG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7240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generowania minimum dwóch rodzajów artefaktów w zapisie EKG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C4EA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Uciśnięcia resuscytacyjne generują wyczuwalne tętno, kształt fali ciśnienia krwi i artefakty EKG na monitorze symulacyjnym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235BA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przeprowadzenia defibrylacji energią do 360 J, z funkcją rejestracji wartości energii defibrylacji oraz rodzaju fali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defibrylacyjnej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(jedno i dwufazowa)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F1A0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ustawienia poziomu energii defibrylacji, który powoduje zmianę zapisu EKG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A040D8">
        <w:trPr>
          <w:cantSplit/>
        </w:trPr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Monitorowanie pracy serca za pomocą minimum 3-odprowadzeniowego EKG oraz poprzez elektrody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defibrylacyjno</w:t>
            </w:r>
            <w:proofErr w:type="spellEnd"/>
            <w:r w:rsidRPr="00F412E8">
              <w:rPr>
                <w:rFonts w:ascii="Calibri" w:hAnsi="Calibri" w:cs="Calibri"/>
                <w:bCs/>
              </w:rPr>
              <w:t>-stymulacyjne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A0767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symulacji zapisu EKG z 12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odprowadzeń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skorelowanego z 3 odprowadzeniowym EKG z powyższego punktu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67132A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stymulacji zewnętrznej, z możliwością ustawiania różnych progów stymulacji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TĘTNO</w:t>
            </w:r>
          </w:p>
        </w:tc>
      </w:tr>
      <w:tr w:rsidR="00E3671F" w:rsidRPr="00F412E8" w:rsidTr="005D0A8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Tętno zsynchronizowane z EKG i zewnętrznym masażem serca. Automatyczna rejestracja badania tętna i zapis w logu.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2E61D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Siła tętna zależna od ciśnienia tętniczego krwi i miejsca pomiaru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A563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Obustronne tętno na tętnicach szyjnych, udowych, podkolanowych oraz grzbietowych stóp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A30D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Obustronne tętno na tętnicach ramiennych i promieniowych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C05D7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 czasie masażu rejestracja głębokości i częstości uciśnięć, relaksacji klatki piersiowej i położenia rąk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C4108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Bieżąca informacja zwrotna o efektywności zabiegów resuscytacyjnych oraz jej rejestracja w rejestrze zdarzeń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CIŚNIENIE KRWI</w:t>
            </w:r>
          </w:p>
        </w:tc>
      </w:tr>
      <w:tr w:rsidR="00E3671F" w:rsidRPr="00F412E8" w:rsidTr="00E374F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Obustronny pomiar poziomu saturacji za pomocą klinicznego pulsoksymetru. Do monitorowania SpO2 nie jest potrzebny żaden dodatkowy adapter.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4F3C4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Obustronny pomiar ciśnienia krwi za pomocą mankietu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autmatycznego</w:t>
            </w:r>
            <w:proofErr w:type="spellEnd"/>
            <w:r w:rsidRPr="00F412E8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E1591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Ciśnienie tętnicze krwi symulowane automatycznie, możliwość pomiaru z wykorzystaniem palpacji i osłuchiwania (dźwięki zsynchronizowane z tętnem)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DF1D69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Symulacja ciśnienia tętniczego krwi minimum w zakresie 0-250 mmHg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7E5CD2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Niezależne ustawianie ciśnienia skurczowego i rozkurczowego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896206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Regulowany poziom słyszalnych podczas pomiaru dźwięków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3D38D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Wyświetlanie parametrów ciśnienia tętniczego krwi na symulowanym monitorze pacjenta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lastRenderedPageBreak/>
              <w:t>PODAWANIE LEKÓW I PŁYNOTERAPIA</w:t>
            </w:r>
          </w:p>
        </w:tc>
      </w:tr>
      <w:tr w:rsidR="00E3671F" w:rsidRPr="00F412E8" w:rsidTr="00CB6E6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Obustronny dostęp dożylny w obrębie kończyn górnych. Brak konieczności wymiany skóry po przeprowadzeniu wkłuć dożylnych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F33D8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podaży leku w bolusie oraz infuzji płynów.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E3671F" w:rsidRPr="00F412E8" w:rsidTr="00886AE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Możliwość wykonywania wkłuć domięśniowych obustronnie w mięśnie naramienne i </w:t>
            </w:r>
            <w:proofErr w:type="spellStart"/>
            <w:r w:rsidRPr="00F412E8">
              <w:rPr>
                <w:rFonts w:ascii="Calibri" w:hAnsi="Calibri" w:cs="Calibri"/>
                <w:bCs/>
              </w:rPr>
              <w:t>doszpikowych</w:t>
            </w:r>
            <w:proofErr w:type="spellEnd"/>
            <w:r w:rsidRPr="00F412E8">
              <w:rPr>
                <w:rFonts w:ascii="Calibri" w:hAnsi="Calibri" w:cs="Calibri"/>
                <w:bCs/>
              </w:rPr>
              <w:t xml:space="preserve"> (obustronnie w głowę kości ramiennej) i jednostronnie w obrębie kości piszczelowej.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 xml:space="preserve">ODGŁOSY PACJENTA ORAZ OSŁUCHIWANE </w:t>
            </w:r>
          </w:p>
        </w:tc>
      </w:tr>
      <w:tr w:rsidR="00E3671F" w:rsidRPr="00F412E8" w:rsidTr="00FF70AE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Symulacja głosu pacjenta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C4FB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osłuchiwania tonów serca oraz wad zastawkowych w minimum czterech miejscach na klatce piersiowej z możliwością niezależnego ustawienia w każdym z punktów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9D4E4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3671F" w:rsidRPr="00F412E8" w:rsidTr="00033898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Odgłosy perystaltyki jelit osłuchiwane w minimum dwóch miejscach na brzuchu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751BC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Odgłosy kaszlu, wymiotów, pojękiwania oraz odgłosy mowy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E3671F" w:rsidRPr="00F412E8" w:rsidTr="000640E5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nagrywania własnych odgłosów przez instruktorów i wykorzystywania ich w symulacji z opcją regulacji głośności</w:t>
            </w:r>
          </w:p>
        </w:tc>
        <w:tc>
          <w:tcPr>
            <w:tcW w:w="301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3671F" w:rsidRPr="00F412E8" w:rsidRDefault="00E3671F" w:rsidP="00F412E8">
            <w:pPr>
              <w:tabs>
                <w:tab w:val="num" w:pos="0"/>
                <w:tab w:val="num" w:pos="720"/>
              </w:tabs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GENITALIA DO PROCEDUR UROLOGICZNYCH</w:t>
            </w:r>
          </w:p>
        </w:tc>
      </w:tr>
      <w:tr w:rsidR="008023E8" w:rsidRPr="00F412E8" w:rsidTr="006A7C3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Wymienne genitalia żeńskie i męskie do procedur cewnikowania urologicznego z funkcją automatycznej symulacji wypływu moczu w zależności od stanu klinicznego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KRWAWIENIE I RANY</w:t>
            </w:r>
          </w:p>
        </w:tc>
      </w:tr>
      <w:tr w:rsidR="008023E8" w:rsidRPr="00F412E8" w:rsidTr="00584194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symulacji krwawień tętniczych i żylnych w minimum dwóch niezależnych miejscach z regulacją siły i częstości w zależności od stanu „</w:t>
            </w:r>
            <w:r w:rsidRPr="00F412E8">
              <w:rPr>
                <w:rFonts w:ascii="Calibri" w:hAnsi="Calibri" w:cs="Calibri"/>
                <w:bCs/>
                <w:i/>
                <w:iCs/>
              </w:rPr>
              <w:t>pacjenta</w:t>
            </w:r>
            <w:r w:rsidRPr="00F412E8">
              <w:rPr>
                <w:rFonts w:ascii="Calibri" w:hAnsi="Calibri" w:cs="Calibri"/>
                <w:bCs/>
              </w:rPr>
              <w:t xml:space="preserve">”.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0E325F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414A77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Zestaw pozoracji ran i obrażeń zawierający co </w:t>
            </w:r>
            <w:r w:rsidRPr="00F412E8">
              <w:rPr>
                <w:rStyle w:val="contextualspellingandgrammarerror"/>
                <w:rFonts w:ascii="Calibri" w:hAnsi="Calibri" w:cs="Calibri"/>
                <w:color w:val="000000"/>
                <w:shd w:val="clear" w:color="auto" w:fill="FFFFFF"/>
              </w:rPr>
              <w:t>najmniej :</w:t>
            </w: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amputowane ramię i nogę, ranę postrzałową ramienia i nogi, rany kłute, z możliwością zakładania ran na symulator oraz symulacją rodzaju krwawienia i ilości wypływającej krwi za pomocą oprogramowania.</w:t>
            </w:r>
            <w:r w:rsidRPr="00F412E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43476D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B0F0"/>
                <w:bdr w:val="none" w:sz="0" w:space="0" w:color="auto" w:frame="1"/>
              </w:rPr>
            </w:pP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 zestawie sztuczna krew w ilości 20 </w:t>
            </w:r>
            <w:r w:rsidRPr="00F412E8">
              <w:rPr>
                <w:rStyle w:val="contextualspellingandgrammarerror"/>
                <w:rFonts w:ascii="Calibri" w:hAnsi="Calibri" w:cs="Calibri"/>
                <w:color w:val="000000"/>
                <w:shd w:val="clear" w:color="auto" w:fill="FFFFFF"/>
              </w:rPr>
              <w:t>litrów,</w:t>
            </w: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lub składniki w liczbie wystarczającej na sporządzenie </w:t>
            </w:r>
            <w:r w:rsidRPr="00F412E8"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20 litrów </w:t>
            </w:r>
            <w:r w:rsidRPr="00F412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sztucznej krwi. Sztuczna krew dostosowana do symulatora, nie powoduje na nim trwałych przebarwień. </w:t>
            </w:r>
            <w:r w:rsidRPr="00F412E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OPROGRAMOWANIE KOMPUTEROWE DO KONTROLI FUNKCJI SYMULATORA</w:t>
            </w:r>
          </w:p>
        </w:tc>
      </w:tr>
      <w:tr w:rsidR="008023E8" w:rsidRPr="00F412E8" w:rsidTr="00A701C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Zdalne bezprzewodowe i przewodowe sterowanie pracą symulatora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4A62DC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Oprogramowanie do obsługi symulatora w języku angielskim oraz opcjonalnie w polskim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C452AE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Opcjonalnie oprogramowanie aplikacji sterującej symulatorem, monitorem pacjenta oraz oprogramowaniem do tworzenia scenariuszy z identycznym interfejsem użytkownika oraz funkcjami dla pozostałych symulatorów: kobiety rodzącej, dziecka, niemowlęcia i noworodka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B8163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Oprogramowanie kontrolujące wszystkie funkcje blokady i udrożnienia dróg oddechowych, funkcje kardiologiczne, resuscytację, tętno, cieśninie krwi i odgłosy z narządów wewnętrznych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EC6A73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Każda z funkcji dróg oddechowych musi być ustawiana indywidualnie za pomocą oprogramowania sterującego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0C308B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Głośności odgłosów serca, płuc i perystaltyki ustawiane za pomocą oprogramowania sterującego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917080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Rejestracja wykonywanych czynności resuscytacyjnych (ACLS) oraz automatyczna rejestracja funkcji z czujników symulatora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F17A67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zapisu i wydruku zarejestrowanych czynności ratowniczych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8023E8" w:rsidRPr="00F412E8" w:rsidTr="007A7DB1">
        <w:tc>
          <w:tcPr>
            <w:tcW w:w="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c>
          <w:tcPr>
            <w:tcW w:w="10065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SYMULOWANY MONITOR DO OCENY STANU „PACJENTA” PRZEZ ĆWICZĄCYCH</w:t>
            </w:r>
          </w:p>
        </w:tc>
      </w:tr>
      <w:tr w:rsidR="008023E8" w:rsidRPr="00F412E8" w:rsidTr="00705871">
        <w:tc>
          <w:tcPr>
            <w:tcW w:w="6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8" w:type="dxa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Całkowicie bezprzewodowy (bez konieczności podłączenia kablem LAN do systemu) stacjonarny monitor dotykowy lub komputer AIO z kolorowym ekranem o przekątnej minimum 21” zawieszony na symulowanej sali. 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183015">
        <w:tc>
          <w:tcPr>
            <w:tcW w:w="6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8" w:type="dxa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Wyświetlanie krzywych EKG, ciśnienia tętniczego krwi, SpO</w:t>
            </w:r>
            <w:r w:rsidRPr="00F412E8">
              <w:rPr>
                <w:rFonts w:ascii="Calibri" w:hAnsi="Calibri" w:cs="Calibri"/>
                <w:bCs/>
                <w:vertAlign w:val="subscript"/>
              </w:rPr>
              <w:t>2</w:t>
            </w:r>
            <w:r w:rsidRPr="00F412E8">
              <w:rPr>
                <w:rFonts w:ascii="Calibri" w:hAnsi="Calibri" w:cs="Calibri"/>
                <w:bCs/>
              </w:rPr>
              <w:t>, ETCO</w:t>
            </w:r>
            <w:r w:rsidRPr="00F412E8">
              <w:rPr>
                <w:rFonts w:ascii="Calibri" w:hAnsi="Calibri" w:cs="Calibri"/>
                <w:bCs/>
                <w:vertAlign w:val="subscript"/>
              </w:rPr>
              <w:t>2</w:t>
            </w:r>
            <w:r w:rsidRPr="00F412E8">
              <w:rPr>
                <w:rFonts w:ascii="Calibri" w:hAnsi="Calibri" w:cs="Calibri"/>
                <w:bCs/>
              </w:rPr>
              <w:t>, fali tętna, częstości oddechu, częstości pracy serca, temperatury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380898">
        <w:tc>
          <w:tcPr>
            <w:tcW w:w="6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8" w:type="dxa"/>
            <w:tcMar>
              <w:top w:w="113" w:type="dxa"/>
              <w:bottom w:w="113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Dowolna konfiguracja krzywych wyświetlanych na monitorze</w:t>
            </w:r>
          </w:p>
        </w:tc>
        <w:tc>
          <w:tcPr>
            <w:tcW w:w="301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BB1FF2" w:rsidRPr="00F412E8" w:rsidTr="008023E8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B1FF2" w:rsidRPr="00F412E8" w:rsidRDefault="00BB1FF2" w:rsidP="00F412E8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F412E8">
              <w:rPr>
                <w:rFonts w:ascii="Calibri" w:hAnsi="Calibri" w:cs="Calibri"/>
                <w:b/>
              </w:rPr>
              <w:t>LAPTOP DO STEROWANIA SYSTEMEM O MINIMALNYCH PARAMETRACH NIE GORSZYCH NIŻ:</w:t>
            </w:r>
          </w:p>
        </w:tc>
      </w:tr>
      <w:tr w:rsidR="008023E8" w:rsidRPr="00F412E8" w:rsidTr="00CA369F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8023E8" w:rsidRPr="00F412E8" w:rsidTr="00451122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Twardy SSD dysk minimum 256 GB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D52628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Pamięć RAM minimum 8 GB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414D02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Ekran VGA o rozdzielczości minimum 1920 x 1080 pikseli, min 14 cali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BA62C9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Rysik oraz mysz do sterowania tabletem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2546A1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Minimum 2 porty USB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CC5EAB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Mikrofon, wyjście słuchawkowe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AF3444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Słuchawki i mikrofon do komunikacji pomiędzy instruktorami oraz symulacji rozmów pacjenta z personelem medycznym w trakcie uruchomionego scenariusza szkoleniowego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184C63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Wewnętrzny port Bluetooth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022605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Gniazdo sieci Ethernet LAN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B4215D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Wbudowana sieć bezprzewodowa zgodna ze standardem 802.11 g/n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8023E8" w:rsidRPr="00F412E8" w:rsidTr="00F036AD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 xml:space="preserve">System operacyjny umożliwiający zainstalowanie i pracę specjalistycznego oprogramowania symulatora.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AF43AB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  <w:tr w:rsidR="008023E8" w:rsidRPr="00F412E8" w:rsidTr="00AF43AB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  <w:r w:rsidRPr="00F412E8">
              <w:rPr>
                <w:rFonts w:ascii="Calibri" w:hAnsi="Calibri" w:cs="Calibri"/>
                <w:bCs/>
              </w:rPr>
              <w:t>Gwarancja minimum 60 miesięcy</w:t>
            </w:r>
            <w:r w:rsidR="00B97A95" w:rsidRPr="00F412E8">
              <w:rPr>
                <w:rFonts w:ascii="Calibri" w:hAnsi="Calibri" w:cs="Calibri"/>
                <w:bCs/>
              </w:rPr>
              <w:t xml:space="preserve"> na cały przedmiot zamówienia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3E8" w:rsidRPr="00F412E8" w:rsidRDefault="008023E8" w:rsidP="00F412E8">
            <w:pPr>
              <w:tabs>
                <w:tab w:val="num" w:pos="0"/>
                <w:tab w:val="num" w:pos="720"/>
              </w:tabs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</w:tr>
    </w:tbl>
    <w:p w:rsidR="00BB1FF2" w:rsidRPr="00F412E8" w:rsidRDefault="00BB1FF2" w:rsidP="00F412E8">
      <w:pPr>
        <w:spacing w:after="0" w:line="360" w:lineRule="auto"/>
        <w:rPr>
          <w:rFonts w:ascii="Calibri" w:hAnsi="Calibri" w:cs="Calibri"/>
        </w:rPr>
      </w:pPr>
    </w:p>
    <w:p w:rsidR="00853B30" w:rsidRPr="00F412E8" w:rsidRDefault="00853B30" w:rsidP="00F412E8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712B31" w:rsidRPr="00F412E8" w:rsidRDefault="00453807" w:rsidP="00F412E8">
      <w:pPr>
        <w:spacing w:after="0" w:line="360" w:lineRule="auto"/>
        <w:rPr>
          <w:rFonts w:ascii="Calibri" w:hAnsi="Calibri" w:cs="Calibri"/>
        </w:rPr>
      </w:pPr>
      <w:r w:rsidRPr="00F412E8">
        <w:rPr>
          <w:rFonts w:ascii="Calibri" w:eastAsia="Times New Roman" w:hAnsi="Calibri" w:cs="Calibri"/>
          <w:b/>
          <w:color w:val="FF0000"/>
          <w:lang w:val="pl" w:eastAsia="pl-PL"/>
        </w:rPr>
        <w:t>Formularz musi być podpisany kwalifikowanym podpisem elektronicznym lub podpisem zaufanym albo podpisem osobistym.</w:t>
      </w:r>
    </w:p>
    <w:sectPr w:rsidR="00712B31" w:rsidRPr="00F412E8" w:rsidSect="00853B30">
      <w:headerReference w:type="first" r:id="rId7"/>
      <w:pgSz w:w="11906" w:h="16838"/>
      <w:pgMar w:top="1417" w:right="1417" w:bottom="1417" w:left="141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1E73" w:rsidRDefault="006F1E73" w:rsidP="000A7CE0">
      <w:pPr>
        <w:spacing w:after="0" w:line="240" w:lineRule="auto"/>
      </w:pPr>
      <w:r>
        <w:separator/>
      </w:r>
    </w:p>
  </w:endnote>
  <w:endnote w:type="continuationSeparator" w:id="0">
    <w:p w:rsidR="006F1E73" w:rsidRDefault="006F1E73" w:rsidP="000A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1E73" w:rsidRDefault="006F1E73" w:rsidP="000A7CE0">
      <w:pPr>
        <w:spacing w:after="0" w:line="240" w:lineRule="auto"/>
      </w:pPr>
      <w:r>
        <w:separator/>
      </w:r>
    </w:p>
  </w:footnote>
  <w:footnote w:type="continuationSeparator" w:id="0">
    <w:p w:rsidR="006F1E73" w:rsidRDefault="006F1E73" w:rsidP="000A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B30" w:rsidRDefault="00853B30">
    <w:pPr>
      <w:pStyle w:val="Nagwek"/>
    </w:pPr>
    <w:r>
      <w:rPr>
        <w:noProof/>
      </w:rPr>
      <w:drawing>
        <wp:inline distT="0" distB="0" distL="0" distR="0" wp14:anchorId="1FA97EED">
          <wp:extent cx="602932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C77"/>
    <w:multiLevelType w:val="hybridMultilevel"/>
    <w:tmpl w:val="046AD3DA"/>
    <w:lvl w:ilvl="0" w:tplc="C756BEB8">
      <w:start w:val="63"/>
      <w:numFmt w:val="decimal"/>
      <w:lvlText w:val="%1."/>
      <w:lvlJc w:val="left"/>
      <w:pPr>
        <w:tabs>
          <w:tab w:val="num" w:pos="567"/>
        </w:tabs>
        <w:snapToGrid w:val="0"/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2F17"/>
    <w:multiLevelType w:val="multilevel"/>
    <w:tmpl w:val="9E4EB4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A677A5"/>
    <w:multiLevelType w:val="multilevel"/>
    <w:tmpl w:val="87C405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CE400C"/>
    <w:multiLevelType w:val="multilevel"/>
    <w:tmpl w:val="B2143EE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E31626"/>
    <w:multiLevelType w:val="hybridMultilevel"/>
    <w:tmpl w:val="4A923250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 w16cid:durableId="1151825963">
    <w:abstractNumId w:val="1"/>
  </w:num>
  <w:num w:numId="2" w16cid:durableId="196435590">
    <w:abstractNumId w:val="2"/>
  </w:num>
  <w:num w:numId="3" w16cid:durableId="1957979764">
    <w:abstractNumId w:val="3"/>
  </w:num>
  <w:num w:numId="4" w16cid:durableId="1977297896">
    <w:abstractNumId w:val="4"/>
  </w:num>
  <w:num w:numId="5" w16cid:durableId="1654525491">
    <w:abstractNumId w:val="0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552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E0"/>
    <w:rsid w:val="000A7CE0"/>
    <w:rsid w:val="00197C10"/>
    <w:rsid w:val="00264BE5"/>
    <w:rsid w:val="00453807"/>
    <w:rsid w:val="005C6963"/>
    <w:rsid w:val="006C26A9"/>
    <w:rsid w:val="006F1E73"/>
    <w:rsid w:val="00712B31"/>
    <w:rsid w:val="008023E8"/>
    <w:rsid w:val="00845127"/>
    <w:rsid w:val="00853B30"/>
    <w:rsid w:val="00961220"/>
    <w:rsid w:val="00B97A95"/>
    <w:rsid w:val="00BA72C3"/>
    <w:rsid w:val="00BB1FF2"/>
    <w:rsid w:val="00CF6F9A"/>
    <w:rsid w:val="00E3671F"/>
    <w:rsid w:val="00E65002"/>
    <w:rsid w:val="00F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682E3B-B6C1-4D05-9227-86F8E34B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7C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CE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CE0"/>
  </w:style>
  <w:style w:type="paragraph" w:styleId="Stopka">
    <w:name w:val="footer"/>
    <w:basedOn w:val="Normalny"/>
    <w:link w:val="StopkaZnak"/>
    <w:uiPriority w:val="99"/>
    <w:unhideWhenUsed/>
    <w:rsid w:val="000A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CE0"/>
  </w:style>
  <w:style w:type="character" w:customStyle="1" w:styleId="Nagwek1Znak">
    <w:name w:val="Nagłówek 1 Znak"/>
    <w:basedOn w:val="Domylnaczcionkaakapitu"/>
    <w:link w:val="Nagwek1"/>
    <w:rsid w:val="000A7CE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7C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ormaltextrun">
    <w:name w:val="normaltextrun"/>
    <w:basedOn w:val="Domylnaczcionkaakapitu"/>
    <w:rsid w:val="000A7CE0"/>
  </w:style>
  <w:style w:type="character" w:customStyle="1" w:styleId="contextualspellingandgrammarerror">
    <w:name w:val="contextualspellingandgrammarerror"/>
    <w:basedOn w:val="Domylnaczcionkaakapitu"/>
    <w:rsid w:val="00BB1FF2"/>
  </w:style>
  <w:style w:type="character" w:customStyle="1" w:styleId="eop">
    <w:name w:val="eop"/>
    <w:basedOn w:val="Domylnaczcionkaakapitu"/>
    <w:rsid w:val="00BB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Milewska</dc:creator>
  <cp:keywords/>
  <dc:description/>
  <cp:lastModifiedBy>Barbara Łabudzka</cp:lastModifiedBy>
  <cp:revision>2</cp:revision>
  <dcterms:created xsi:type="dcterms:W3CDTF">2022-11-21T15:00:00Z</dcterms:created>
  <dcterms:modified xsi:type="dcterms:W3CDTF">2022-11-21T15:00:00Z</dcterms:modified>
</cp:coreProperties>
</file>