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DF" w:rsidRDefault="00550412">
      <w:pPr>
        <w:pStyle w:val="NormalnyWeb"/>
        <w:spacing w:beforeAutospacing="0" w:after="0" w:afterAutospacing="0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</w:rPr>
      </w:pPr>
      <w:r>
        <w:rPr>
          <w:rFonts w:ascii="Fira Sans Condensed SemiBold" w:hAnsi="Fira Sans Condensed SemiBold" w:cs="Arial"/>
          <w:color w:val="020203"/>
          <w:sz w:val="14"/>
          <w:szCs w:val="14"/>
        </w:rPr>
        <w:t> </w:t>
      </w:r>
    </w:p>
    <w:p w:rsidR="007F48DF" w:rsidRDefault="00550412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Gdynia, dnia</w:t>
      </w:r>
      <w:r w:rsidR="00651166">
        <w:rPr>
          <w:rFonts w:cs="Calibri"/>
          <w:b/>
          <w:sz w:val="20"/>
          <w:szCs w:val="20"/>
        </w:rPr>
        <w:t xml:space="preserve"> </w:t>
      </w:r>
      <w:r w:rsidR="00865CAE">
        <w:rPr>
          <w:rFonts w:cs="Calibri"/>
          <w:b/>
          <w:sz w:val="20"/>
          <w:szCs w:val="20"/>
        </w:rPr>
        <w:t>24</w:t>
      </w:r>
      <w:r w:rsidR="00200756">
        <w:rPr>
          <w:rFonts w:cs="Calibri"/>
          <w:b/>
          <w:sz w:val="20"/>
          <w:szCs w:val="20"/>
        </w:rPr>
        <w:t>-</w:t>
      </w:r>
      <w:r w:rsidR="00FD5C76">
        <w:rPr>
          <w:rFonts w:cs="Calibri"/>
          <w:b/>
          <w:sz w:val="20"/>
          <w:szCs w:val="20"/>
        </w:rPr>
        <w:t>11</w:t>
      </w:r>
      <w:r w:rsidR="000C57C1">
        <w:rPr>
          <w:rFonts w:cs="Calibri"/>
          <w:b/>
          <w:sz w:val="20"/>
          <w:szCs w:val="20"/>
        </w:rPr>
        <w:t>-</w:t>
      </w:r>
      <w:r>
        <w:rPr>
          <w:rFonts w:cs="Calibri"/>
          <w:b/>
          <w:sz w:val="20"/>
          <w:szCs w:val="20"/>
        </w:rPr>
        <w:t>202</w:t>
      </w:r>
      <w:r w:rsidR="00200756">
        <w:rPr>
          <w:rFonts w:cs="Calibri"/>
          <w:b/>
          <w:sz w:val="20"/>
          <w:szCs w:val="20"/>
        </w:rPr>
        <w:t>5</w:t>
      </w:r>
      <w:r>
        <w:rPr>
          <w:rFonts w:cs="Calibri"/>
          <w:b/>
          <w:sz w:val="20"/>
          <w:szCs w:val="20"/>
        </w:rPr>
        <w:t xml:space="preserve"> r</w:t>
      </w:r>
    </w:p>
    <w:p w:rsidR="007F48DF" w:rsidRDefault="007F48DF">
      <w:pPr>
        <w:spacing w:after="0" w:line="240" w:lineRule="auto"/>
        <w:contextualSpacing/>
        <w:jc w:val="right"/>
        <w:rPr>
          <w:rFonts w:cs="Calibri"/>
          <w:b/>
          <w:sz w:val="20"/>
          <w:szCs w:val="20"/>
          <w:lang w:bidi="en-US"/>
        </w:rPr>
      </w:pPr>
    </w:p>
    <w:p w:rsidR="007F48DF" w:rsidRDefault="00550412">
      <w:pPr>
        <w:spacing w:after="0" w:line="240" w:lineRule="auto"/>
        <w:contextualSpacing/>
        <w:jc w:val="right"/>
        <w:rPr>
          <w:rFonts w:cs="Calibri"/>
          <w:b/>
          <w:sz w:val="20"/>
          <w:szCs w:val="20"/>
          <w:lang w:bidi="en-US"/>
        </w:rPr>
      </w:pPr>
      <w:r>
        <w:rPr>
          <w:rFonts w:cs="Calibri"/>
          <w:b/>
          <w:sz w:val="20"/>
          <w:szCs w:val="20"/>
          <w:lang w:bidi="en-US"/>
        </w:rPr>
        <w:t>Wykonawcy</w:t>
      </w:r>
    </w:p>
    <w:p w:rsidR="007F48DF" w:rsidRDefault="00550412">
      <w:pPr>
        <w:spacing w:after="0" w:line="240" w:lineRule="auto"/>
        <w:contextualSpacing/>
        <w:jc w:val="right"/>
        <w:rPr>
          <w:rFonts w:cs="Calibri"/>
          <w:b/>
          <w:sz w:val="20"/>
          <w:szCs w:val="20"/>
          <w:lang w:bidi="en-US"/>
        </w:rPr>
      </w:pPr>
      <w:r>
        <w:rPr>
          <w:rFonts w:cs="Calibri"/>
          <w:b/>
          <w:sz w:val="20"/>
          <w:szCs w:val="20"/>
          <w:lang w:bidi="en-US"/>
        </w:rPr>
        <w:t>ubiegający się o udzielenie zamówienia</w:t>
      </w:r>
    </w:p>
    <w:p w:rsidR="007F48DF" w:rsidRDefault="007F48DF">
      <w:pPr>
        <w:spacing w:after="0" w:line="240" w:lineRule="auto"/>
        <w:contextualSpacing/>
        <w:jc w:val="right"/>
        <w:rPr>
          <w:rFonts w:cs="Calibri"/>
          <w:b/>
          <w:sz w:val="20"/>
          <w:szCs w:val="20"/>
          <w:lang w:bidi="en-US"/>
        </w:rPr>
      </w:pPr>
    </w:p>
    <w:p w:rsidR="007F48DF" w:rsidRDefault="00550412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Dotyczy: postępowania o udzielenie zamówienia klasycznego o wartości równej lub przekraczającej progi unijne w trybie przetargu nieograniczonego na:</w:t>
      </w:r>
    </w:p>
    <w:p w:rsidR="007F48DF" w:rsidRDefault="007F48DF">
      <w:pPr>
        <w:spacing w:after="0" w:line="240" w:lineRule="auto"/>
        <w:jc w:val="center"/>
        <w:rPr>
          <w:b/>
          <w:i/>
          <w:color w:val="4472C4" w:themeColor="accent1"/>
        </w:rPr>
      </w:pPr>
    </w:p>
    <w:p w:rsidR="00865CAE" w:rsidRDefault="00865CAE" w:rsidP="00865CAE">
      <w:pPr>
        <w:jc w:val="center"/>
        <w:rPr>
          <w:b/>
          <w:bCs/>
          <w:i/>
          <w:color w:val="003399"/>
        </w:rPr>
      </w:pPr>
      <w:r w:rsidRPr="00865CAE">
        <w:rPr>
          <w:b/>
          <w:bCs/>
          <w:i/>
          <w:color w:val="003399"/>
        </w:rPr>
        <w:t>Sukcesywne dostawy wyrobów medycznych dla Szpitali Pomorskich Sp. z o. o. - intensywna terapia noworodków i dorosłych</w:t>
      </w:r>
    </w:p>
    <w:p w:rsidR="00865CAE" w:rsidRDefault="00865CAE" w:rsidP="00865CAE">
      <w:pPr>
        <w:jc w:val="center"/>
        <w:rPr>
          <w:b/>
          <w:i/>
          <w:color w:val="4472C4" w:themeColor="accent1"/>
        </w:rPr>
      </w:pPr>
      <w:r w:rsidRPr="00865CAE">
        <w:rPr>
          <w:b/>
          <w:i/>
          <w:color w:val="4472C4" w:themeColor="accent1"/>
        </w:rPr>
        <w:t>D25M/251/N/50-84rj/25</w:t>
      </w:r>
    </w:p>
    <w:p w:rsidR="007F48DF" w:rsidRDefault="00550412">
      <w:pPr>
        <w:jc w:val="both"/>
        <w:rPr>
          <w:rFonts w:cs="Calibri"/>
          <w:sz w:val="20"/>
          <w:szCs w:val="20"/>
          <w:lang w:bidi="en-US"/>
        </w:rPr>
      </w:pPr>
      <w:r>
        <w:rPr>
          <w:rFonts w:cs="Calibri"/>
          <w:b/>
          <w:sz w:val="20"/>
          <w:szCs w:val="20"/>
          <w:lang w:bidi="en-US"/>
        </w:rPr>
        <w:t>I.</w:t>
      </w:r>
      <w:r>
        <w:rPr>
          <w:rFonts w:cs="Calibri"/>
          <w:sz w:val="20"/>
          <w:szCs w:val="20"/>
          <w:lang w:bidi="en-US"/>
        </w:rPr>
        <w:t xml:space="preserve"> Zamawiający – Szpitale Pomorskie Sp. z o. o. z siedzibą w Gdyni, na podstawie treści art. 135 ust. 2  ustawy z dnia 11 września 2019 r. Prawo zamówień publicznych (t. j. Dz. U. z 2024 r. poz. 1320 z późn. zm.) zwanej dalej ustawą Pzp, poniżej przedstawia treść pytań</w:t>
      </w:r>
      <w:r w:rsidR="002A36D0">
        <w:rPr>
          <w:rFonts w:cs="Calibri"/>
          <w:sz w:val="20"/>
          <w:szCs w:val="20"/>
          <w:lang w:bidi="en-US"/>
        </w:rPr>
        <w:t>, które wpłynęły po terminie ustawowym na ich zadawanie</w:t>
      </w:r>
      <w:r>
        <w:rPr>
          <w:rFonts w:cs="Calibri"/>
          <w:sz w:val="20"/>
          <w:szCs w:val="20"/>
          <w:lang w:bidi="en-US"/>
        </w:rPr>
        <w:t xml:space="preserve"> wraz z odpowiedziami:</w:t>
      </w:r>
    </w:p>
    <w:p w:rsidR="00A057BB" w:rsidRPr="00B16684" w:rsidRDefault="00A057BB" w:rsidP="00B16684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</w:p>
    <w:p w:rsidR="002A36D0" w:rsidRDefault="002A36D0" w:rsidP="002A36D0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  <w:r w:rsidRPr="002A36D0">
        <w:rPr>
          <w:rFonts w:cstheme="minorHAnsi"/>
          <w:b/>
          <w:sz w:val="20"/>
          <w:szCs w:val="20"/>
          <w:lang w:eastAsia="pl-PL"/>
        </w:rPr>
        <w:t xml:space="preserve">Pytanie nr </w:t>
      </w:r>
      <w:r w:rsidR="00866599">
        <w:rPr>
          <w:rFonts w:cstheme="minorHAnsi"/>
          <w:b/>
          <w:sz w:val="20"/>
          <w:szCs w:val="20"/>
          <w:lang w:eastAsia="pl-PL"/>
        </w:rPr>
        <w:t>1</w:t>
      </w:r>
    </w:p>
    <w:p w:rsidR="00865CAE" w:rsidRP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bookmarkStart w:id="0" w:name="_Hlk204079564"/>
      <w:r w:rsidRPr="00865CAE">
        <w:rPr>
          <w:rFonts w:cstheme="minorHAnsi"/>
          <w:sz w:val="20"/>
          <w:szCs w:val="20"/>
          <w:lang w:eastAsia="pl-PL"/>
        </w:rPr>
        <w:t>Zwracamy się z prośbą o dopuszczenie w zadaniu 12 zestawu do drenażu opłucnej (aktywnego i</w:t>
      </w:r>
    </w:p>
    <w:p w:rsidR="00865CAE" w:rsidRP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grawitacyjnego) z mechaniczną regulacją siły ssania (regulacja za pomocą słupa wody wykluczona)</w:t>
      </w:r>
    </w:p>
    <w:p w:rsidR="00865CAE" w:rsidRP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wyposażonego w wyskalowane pokrętło umieszczone na górnej ścianie umożliwiające regulację w</w:t>
      </w:r>
    </w:p>
    <w:p w:rsidR="00865CAE" w:rsidRP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zakresie od 10-40 cm H2O, bezgłośny, wyskalowany do objętości 2300 ml, posiadający wskaźnik</w:t>
      </w:r>
    </w:p>
    <w:p w:rsidR="00865CAE" w:rsidRP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pływakowy umożliwiający wizualizację prawidłowego działania drenażu, zastawkę bezpieczeństwa do</w:t>
      </w:r>
    </w:p>
    <w:p w:rsidR="00865CAE" w:rsidRP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uwolnienia wysokiego podciśnienia, automatyczny zawór uwalniający dodatnie ciśnienie, port do</w:t>
      </w:r>
    </w:p>
    <w:p w:rsidR="00865CAE" w:rsidRP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pobierania próbek drenowanego płynu, o wysokości 35 cm i konstrukcji nie wymagającej mocowania na</w:t>
      </w:r>
    </w:p>
    <w:p w:rsidR="00865CAE" w:rsidRP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stojaku w przypadku umieszczenia na podłodze, z uchwytem umożliwiającym przenoszenie lub</w:t>
      </w:r>
    </w:p>
    <w:p w:rsidR="00865CAE" w:rsidRP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powieszenie, z możliwością położenia w pozycji horyzontalnej (poziomej) na krótki czas nie powodującego</w:t>
      </w:r>
    </w:p>
    <w:p w:rsidR="00865CAE" w:rsidRP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wymieszania roztworów wewnątrz komory, zapakowany sterylnie w folię i serwetę, z oznaczonym</w:t>
      </w:r>
    </w:p>
    <w:p w:rsidR="00865CAE" w:rsidRP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miejscem jej otwarcia, z pojedynczym drenem łączącym bez lateksowym zabezpieczonym przed</w:t>
      </w:r>
    </w:p>
    <w:p w:rsid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zagięciem sprężyną.</w:t>
      </w:r>
    </w:p>
    <w:p w:rsidR="002A36D0" w:rsidRDefault="002A36D0" w:rsidP="00865CAE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  <w:r w:rsidRPr="007F5265">
        <w:rPr>
          <w:rFonts w:cstheme="minorHAnsi"/>
          <w:b/>
          <w:color w:val="FF0000"/>
          <w:sz w:val="20"/>
          <w:szCs w:val="20"/>
          <w:u w:val="single"/>
          <w:lang w:eastAsia="pl-PL"/>
        </w:rPr>
        <w:t xml:space="preserve">Odpowiedź Zamawiającego: </w:t>
      </w:r>
      <w:bookmarkEnd w:id="0"/>
      <w:r w:rsidR="00FD5C76" w:rsidRPr="00FD5C76">
        <w:rPr>
          <w:rFonts w:cstheme="minorHAnsi"/>
          <w:b/>
          <w:color w:val="FF0000"/>
          <w:sz w:val="20"/>
          <w:szCs w:val="20"/>
          <w:lang w:eastAsia="pl-PL"/>
        </w:rPr>
        <w:t xml:space="preserve">Zamawiający nie </w:t>
      </w:r>
      <w:r w:rsidR="00865CAE">
        <w:rPr>
          <w:rFonts w:cstheme="minorHAnsi"/>
          <w:b/>
          <w:color w:val="FF0000"/>
          <w:sz w:val="20"/>
          <w:szCs w:val="20"/>
          <w:lang w:eastAsia="pl-PL"/>
        </w:rPr>
        <w:t>dopuszcza.</w:t>
      </w:r>
    </w:p>
    <w:p w:rsidR="00CE4DE1" w:rsidRPr="002A36D0" w:rsidRDefault="00CE4DE1" w:rsidP="002A36D0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</w:p>
    <w:p w:rsidR="002A36D0" w:rsidRPr="002A36D0" w:rsidRDefault="002A36D0" w:rsidP="002A36D0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  <w:r w:rsidRPr="002A36D0">
        <w:rPr>
          <w:rFonts w:cstheme="minorHAnsi"/>
          <w:b/>
          <w:sz w:val="20"/>
          <w:szCs w:val="20"/>
          <w:lang w:eastAsia="pl-PL"/>
        </w:rPr>
        <w:t>Pytanie nr 2</w:t>
      </w:r>
    </w:p>
    <w:p w:rsidR="00865CAE" w:rsidRP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Ad par. 4 ust. 1 wzoru umowy</w:t>
      </w:r>
    </w:p>
    <w:p w:rsidR="00865CAE" w:rsidRP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Prosimy o zmianę wymaganego terminu dostawy na 3 dni robocze, co jest realnym terminem dostawy dla</w:t>
      </w:r>
    </w:p>
    <w:p w:rsidR="00865CAE" w:rsidRDefault="00865CAE" w:rsidP="00865CAE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865CAE">
        <w:rPr>
          <w:rFonts w:cstheme="minorHAnsi"/>
          <w:sz w:val="20"/>
          <w:szCs w:val="20"/>
          <w:lang w:eastAsia="pl-PL"/>
        </w:rPr>
        <w:t>Wykonawców.</w:t>
      </w:r>
    </w:p>
    <w:p w:rsidR="002A36D0" w:rsidRDefault="002A36D0" w:rsidP="00865CAE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  <w:r w:rsidRPr="007F5265">
        <w:rPr>
          <w:rFonts w:cstheme="minorHAnsi"/>
          <w:b/>
          <w:color w:val="FF0000"/>
          <w:sz w:val="20"/>
          <w:szCs w:val="20"/>
          <w:u w:val="single"/>
          <w:lang w:eastAsia="pl-PL"/>
        </w:rPr>
        <w:t>Odpowiedź Zamawiającego:</w:t>
      </w:r>
      <w:r w:rsidR="00CE4DE1">
        <w:rPr>
          <w:rFonts w:cstheme="minorHAnsi"/>
          <w:b/>
          <w:color w:val="FF0000"/>
          <w:sz w:val="20"/>
          <w:szCs w:val="20"/>
          <w:u w:val="single"/>
          <w:lang w:eastAsia="pl-PL"/>
        </w:rPr>
        <w:t xml:space="preserve"> </w:t>
      </w:r>
      <w:r w:rsidR="00FD5C76" w:rsidRPr="00FD5C76">
        <w:rPr>
          <w:rFonts w:cstheme="minorHAnsi"/>
          <w:b/>
          <w:color w:val="FF0000"/>
          <w:sz w:val="20"/>
          <w:szCs w:val="20"/>
          <w:lang w:eastAsia="pl-PL"/>
        </w:rPr>
        <w:t xml:space="preserve">Zamawiający </w:t>
      </w:r>
      <w:r w:rsidR="00865CAE">
        <w:rPr>
          <w:rFonts w:cstheme="minorHAnsi"/>
          <w:b/>
          <w:color w:val="FF0000"/>
          <w:sz w:val="20"/>
          <w:szCs w:val="20"/>
          <w:lang w:eastAsia="pl-PL"/>
        </w:rPr>
        <w:t xml:space="preserve">wyraża zgodę i modyfikuje zapis </w:t>
      </w:r>
      <w:r w:rsidR="00865CAE" w:rsidRPr="00865CAE">
        <w:rPr>
          <w:rFonts w:cstheme="minorHAnsi"/>
          <w:b/>
          <w:color w:val="FF0000"/>
          <w:sz w:val="20"/>
          <w:szCs w:val="20"/>
          <w:lang w:eastAsia="pl-PL"/>
        </w:rPr>
        <w:t>§</w:t>
      </w:r>
      <w:r w:rsidR="00865CAE">
        <w:rPr>
          <w:rFonts w:cstheme="minorHAnsi"/>
          <w:b/>
          <w:color w:val="FF0000"/>
          <w:sz w:val="20"/>
          <w:szCs w:val="20"/>
          <w:lang w:eastAsia="pl-PL"/>
        </w:rPr>
        <w:t>4</w:t>
      </w:r>
      <w:r w:rsidR="00865CAE" w:rsidRPr="00865CAE">
        <w:rPr>
          <w:rFonts w:cstheme="minorHAnsi"/>
          <w:b/>
          <w:color w:val="FF0000"/>
          <w:sz w:val="20"/>
          <w:szCs w:val="20"/>
          <w:lang w:eastAsia="pl-PL"/>
        </w:rPr>
        <w:t xml:space="preserve"> </w:t>
      </w:r>
      <w:r w:rsidR="00F30A5F">
        <w:rPr>
          <w:rFonts w:cstheme="minorHAnsi"/>
          <w:b/>
          <w:color w:val="FF0000"/>
          <w:sz w:val="20"/>
          <w:szCs w:val="20"/>
          <w:lang w:eastAsia="pl-PL"/>
        </w:rPr>
        <w:t>ust.</w:t>
      </w:r>
      <w:r w:rsidR="00865CAE" w:rsidRPr="00865CAE">
        <w:rPr>
          <w:rFonts w:cstheme="minorHAnsi"/>
          <w:b/>
          <w:color w:val="FF0000"/>
          <w:sz w:val="20"/>
          <w:szCs w:val="20"/>
          <w:lang w:eastAsia="pl-PL"/>
        </w:rPr>
        <w:t xml:space="preserve"> 1 w załączniku nr 5 do SWZ </w:t>
      </w:r>
      <w:r w:rsidR="007A78C2">
        <w:rPr>
          <w:rFonts w:cstheme="minorHAnsi"/>
          <w:b/>
          <w:color w:val="FF0000"/>
          <w:sz w:val="20"/>
          <w:szCs w:val="20"/>
          <w:lang w:eastAsia="pl-PL"/>
        </w:rPr>
        <w:t>(</w:t>
      </w:r>
      <w:r w:rsidR="00865CAE" w:rsidRPr="00865CAE">
        <w:rPr>
          <w:rFonts w:cstheme="minorHAnsi"/>
          <w:b/>
          <w:color w:val="FF0000"/>
          <w:sz w:val="20"/>
          <w:szCs w:val="20"/>
          <w:lang w:eastAsia="pl-PL"/>
        </w:rPr>
        <w:t>Projekt Umowy)</w:t>
      </w:r>
      <w:r w:rsidR="00265AE5">
        <w:rPr>
          <w:rFonts w:cstheme="minorHAnsi"/>
          <w:b/>
          <w:color w:val="FF0000"/>
          <w:sz w:val="20"/>
          <w:szCs w:val="20"/>
          <w:lang w:eastAsia="pl-PL"/>
        </w:rPr>
        <w:t xml:space="preserve"> oraz pkt 3 w załączniku nr 1 do SW</w:t>
      </w:r>
      <w:r w:rsidR="00BB59EF">
        <w:rPr>
          <w:rFonts w:cstheme="minorHAnsi"/>
          <w:b/>
          <w:color w:val="FF0000"/>
          <w:sz w:val="20"/>
          <w:szCs w:val="20"/>
          <w:lang w:eastAsia="pl-PL"/>
        </w:rPr>
        <w:t>Z (Formularz Oferty).</w:t>
      </w:r>
    </w:p>
    <w:p w:rsidR="00866599" w:rsidRPr="002A36D0" w:rsidRDefault="00866599" w:rsidP="002A36D0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</w:p>
    <w:p w:rsidR="002A36D0" w:rsidRDefault="002A36D0" w:rsidP="002A36D0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  <w:r w:rsidRPr="002A36D0">
        <w:rPr>
          <w:rFonts w:cstheme="minorHAnsi"/>
          <w:b/>
          <w:sz w:val="20"/>
          <w:szCs w:val="20"/>
          <w:lang w:eastAsia="pl-PL"/>
        </w:rPr>
        <w:t xml:space="preserve">Pytanie nr </w:t>
      </w:r>
      <w:r w:rsidR="00866599">
        <w:rPr>
          <w:rFonts w:cstheme="minorHAnsi"/>
          <w:b/>
          <w:sz w:val="20"/>
          <w:szCs w:val="20"/>
          <w:lang w:eastAsia="pl-PL"/>
        </w:rPr>
        <w:t>3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Czy Zamawiający w Zadaniu 9 dopuści zestaw do przezskórnej tracheotomii metodą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Griggsa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bez wielorazowego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peana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(stosowany przez Zamawiającego) oparty na użyciu dedykowanego narzędzia do dylatacji ścianek tchawicy tj.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peana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wielorazowego użytku (który nie jest elementem zestawu) o składzie: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 skalpel, strzykawki 5 i 10 ml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igła wprowadzająca 16G z kaniulą 14G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igła wprowadzająca (5 cm), znaczniki głębokości (jako alternatywa dla zestawu igła z kaniulą)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- prowadnica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Seldingera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z zakończeniem „J” i z prowadnikiem, ze znacznikami pozycjonującym;  możliwość prowadzenia przy użyciu jednej ręki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 krótki rozszerzacz 14F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pojemnik do zabezpieczenia zużytych igieł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- rurka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tracheostomijna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z mankietem niskociśnieniowym, z wbudowanym przewodem do odsysania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lastRenderedPageBreak/>
        <w:t xml:space="preserve">znad mankietu, z samoblokującym się mandrynem, z otworem na prowadnicę; przezroczysty kołnierz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 2 wymienne kaniule wewnętrzne do rurki, szczoteczka do kaniul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- opaska do rurki; podkładka pod rurkę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klin do rozłączenia układu, żel poślizgowy, gaziki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 Rozmiary zgodnie z SWZ: 7,0; 8,0; 9,0 mm. Zestaw sterylny, jednorazowego użytku, zapakowany na tacy (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wszsytkie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elementy wraz z rurką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tracheostomijną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). Rozmiary 7,0; 8,0; 9,0 mm (do wyboru). </w:t>
      </w:r>
    </w:p>
    <w:p w:rsid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Zestaw marki PORTEX.</w:t>
      </w:r>
    </w:p>
    <w:p w:rsidR="002A36D0" w:rsidRDefault="002A36D0" w:rsidP="00F30A5F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  <w:bookmarkStart w:id="1" w:name="_Hlk214869807"/>
      <w:r w:rsidRPr="007F5265">
        <w:rPr>
          <w:rFonts w:cstheme="minorHAnsi"/>
          <w:b/>
          <w:color w:val="FF0000"/>
          <w:sz w:val="20"/>
          <w:szCs w:val="20"/>
          <w:u w:val="single"/>
          <w:lang w:eastAsia="pl-PL"/>
        </w:rPr>
        <w:t>Odpowiedź Zamawiającego:</w:t>
      </w:r>
      <w:r w:rsidR="00F30A5F" w:rsidRPr="00F30A5F">
        <w:t xml:space="preserve"> </w:t>
      </w:r>
      <w:r w:rsidR="00F30A5F" w:rsidRPr="00F30A5F">
        <w:rPr>
          <w:rFonts w:cstheme="minorHAnsi"/>
          <w:b/>
          <w:color w:val="FF0000"/>
          <w:sz w:val="20"/>
          <w:szCs w:val="20"/>
          <w:lang w:eastAsia="pl-PL"/>
        </w:rPr>
        <w:t>Zamawiający nie dopuszcza.</w:t>
      </w:r>
    </w:p>
    <w:bookmarkEnd w:id="1"/>
    <w:p w:rsidR="00F30A5F" w:rsidRDefault="00F30A5F" w:rsidP="00F30A5F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  <w:bookmarkStart w:id="2" w:name="_Hlk214869683"/>
      <w:r w:rsidRPr="00F30A5F">
        <w:rPr>
          <w:rFonts w:cstheme="minorHAnsi"/>
          <w:b/>
          <w:sz w:val="20"/>
          <w:szCs w:val="20"/>
          <w:lang w:eastAsia="pl-PL"/>
        </w:rPr>
        <w:t xml:space="preserve">Pytanie nr </w:t>
      </w:r>
      <w:r>
        <w:rPr>
          <w:rFonts w:cstheme="minorHAnsi"/>
          <w:b/>
          <w:sz w:val="20"/>
          <w:szCs w:val="20"/>
          <w:lang w:eastAsia="pl-PL"/>
        </w:rPr>
        <w:t>4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Czy Zamawiający w Zadaniu 10 dopuści zestaw do przezskórnej tracheotomii metodą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Griggsa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bez wielorazowego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peana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(stosowany przez Zamawiającego) oparty na użyciu dedykowanego narzędzia do dylatacji ścianek tchawicy tj.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peana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wielorazowego użytku (który nie jest elementem zestawu) o składzie: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 skalpel, strzykawki 5 i 10 ml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igła wprowadzająca 16G z kaniulą 14G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igła wprowadzająca (5 cm), znaczniki głębokości (jako alternatywa dla zestawu igła z kaniulą)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- prowadnica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Seldingera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z zakończeniem „J” i z prowadnikiem, ze znacznikami pozycjonującym;  możliwość prowadzenia przy użyciu jednej ręki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 krótki rozszerzacz 14F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pojemnik do zabezpieczenia zużytych igieł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- rurka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tracheostomijna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z mankietem niskociśnieniowym, z wbudowanym przewodem do odsysania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znad mankietu, z samoblokującym się mandrynem, z otworem na prowadnicę; przezroczysty kołnierz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 2 wymienne kaniule wewnętrzne do rurki, szczoteczka do kaniul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- opaska do rurki; podkładka pod rurkę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klin do rozłączenia układu, żel poślizgowy, gaziki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 Rozmiary zgodnie z SWZ: 7,0; 8,0; 9,0 mm. Zestaw sterylny, jednorazowego użytku, zapakowany na tacy (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wszsytkie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elementy wraz z rurką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tracheostomijną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). Rozmiary 7,0; 8,0; 9,0 mm (do wyboru).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Zestaw marki PORTEX.</w:t>
      </w:r>
    </w:p>
    <w:bookmarkEnd w:id="2"/>
    <w:p w:rsidR="00B16684" w:rsidRDefault="00F30A5F" w:rsidP="00954DB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  <w:r w:rsidRPr="00F30A5F">
        <w:rPr>
          <w:rFonts w:cstheme="minorHAnsi"/>
          <w:b/>
          <w:color w:val="FF0000"/>
          <w:sz w:val="20"/>
          <w:szCs w:val="20"/>
          <w:lang w:eastAsia="pl-PL"/>
        </w:rPr>
        <w:t>Odpowiedź Zamawiającego:</w:t>
      </w:r>
      <w:r w:rsidRPr="00F30A5F">
        <w:t xml:space="preserve"> </w:t>
      </w:r>
      <w:r w:rsidRPr="00F30A5F">
        <w:rPr>
          <w:rFonts w:cstheme="minorHAnsi"/>
          <w:b/>
          <w:color w:val="FF0000"/>
          <w:sz w:val="20"/>
          <w:szCs w:val="20"/>
          <w:lang w:eastAsia="pl-PL"/>
        </w:rPr>
        <w:t>Zamawiający  dopuszcza</w:t>
      </w:r>
      <w:r>
        <w:rPr>
          <w:rFonts w:cstheme="minorHAnsi"/>
          <w:b/>
          <w:color w:val="FF0000"/>
          <w:sz w:val="20"/>
          <w:szCs w:val="20"/>
          <w:lang w:eastAsia="pl-PL"/>
        </w:rPr>
        <w:t>.</w:t>
      </w:r>
    </w:p>
    <w:p w:rsidR="00F30A5F" w:rsidRDefault="00F30A5F" w:rsidP="00954DB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  <w:bookmarkStart w:id="3" w:name="_Hlk214869838"/>
      <w:r w:rsidRPr="00F30A5F">
        <w:rPr>
          <w:rFonts w:cstheme="minorHAnsi"/>
          <w:b/>
          <w:sz w:val="20"/>
          <w:szCs w:val="20"/>
          <w:lang w:eastAsia="pl-PL"/>
        </w:rPr>
        <w:t xml:space="preserve">Pytanie nr </w:t>
      </w:r>
      <w:r w:rsidR="007A78C2">
        <w:rPr>
          <w:rFonts w:cstheme="minorHAnsi"/>
          <w:b/>
          <w:sz w:val="20"/>
          <w:szCs w:val="20"/>
          <w:lang w:eastAsia="pl-PL"/>
        </w:rPr>
        <w:t>5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Czy Zamawiający </w:t>
      </w:r>
      <w:r w:rsidRPr="007A78C2">
        <w:rPr>
          <w:rFonts w:cstheme="minorHAnsi"/>
          <w:sz w:val="20"/>
          <w:szCs w:val="20"/>
          <w:lang w:eastAsia="pl-PL"/>
        </w:rPr>
        <w:t xml:space="preserve">w Zadaniu 10 dopuści zestaw do przezskórnej tracheotomii metodą </w:t>
      </w:r>
      <w:proofErr w:type="spellStart"/>
      <w:r w:rsidRPr="007A78C2">
        <w:rPr>
          <w:rFonts w:cstheme="minorHAnsi"/>
          <w:sz w:val="20"/>
          <w:szCs w:val="20"/>
          <w:lang w:eastAsia="pl-PL"/>
        </w:rPr>
        <w:t>Griggsa</w:t>
      </w:r>
      <w:proofErr w:type="spellEnd"/>
      <w:r w:rsidRPr="007A78C2">
        <w:rPr>
          <w:rFonts w:cstheme="minorHAnsi"/>
          <w:sz w:val="20"/>
          <w:szCs w:val="20"/>
          <w:lang w:eastAsia="pl-PL"/>
        </w:rPr>
        <w:t xml:space="preserve"> zawierający wielorazowy pean (</w:t>
      </w:r>
      <w:r w:rsidRPr="00F30A5F">
        <w:rPr>
          <w:rFonts w:cstheme="minorHAnsi"/>
          <w:sz w:val="20"/>
          <w:szCs w:val="20"/>
          <w:lang w:eastAsia="pl-PL"/>
        </w:rPr>
        <w:t xml:space="preserve">stosowany przez Zamawiającego) o składzie: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skalpel, strzykawki 5 i 10 ml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igła wprowadzająca 16G z kaniulą 14G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igła wprowadzająca (5 cm), znaczniki głębokości (jako alternatywa dla zestawu igła z kaniulą)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- prowadnica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Seldingera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z zakończeniem „J” i z prowadnikiem, ze znacznikami pozycjonującym;  możliwość prowadzenia przy użyciu jednej ręki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 krótki rozszerzacz 14F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pojemnik do zabezpieczenia zużytych igieł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- rurka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tracheostomijna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z mankietem niskociśnieniowym, z wbudowanym przewodem do odsysania znad mankietu, z samoblokującym się mandrynem, z otworem na prowadnicę; przezroczysty kołnierz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 2 wymienne kaniule wewnętrzne do rurki, szczoteczka do kaniul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- opaska do rurki; podkładka pod rurkę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- klin do rozłączenia układu, żel poślizgowy, gaziki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 xml:space="preserve"> Rozmiary zgodnie z SWZ: 7,0; 8,0; 9,0 mm. Zestaw sterylny, jednorazowego użytku, zapakowany na tacy (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wszsytkie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 elementy wraz z rurką </w:t>
      </w:r>
      <w:proofErr w:type="spellStart"/>
      <w:r w:rsidRPr="00F30A5F">
        <w:rPr>
          <w:rFonts w:cstheme="minorHAnsi"/>
          <w:sz w:val="20"/>
          <w:szCs w:val="20"/>
          <w:lang w:eastAsia="pl-PL"/>
        </w:rPr>
        <w:t>tracheostomijną</w:t>
      </w:r>
      <w:proofErr w:type="spellEnd"/>
      <w:r w:rsidRPr="00F30A5F">
        <w:rPr>
          <w:rFonts w:cstheme="minorHAnsi"/>
          <w:sz w:val="20"/>
          <w:szCs w:val="20"/>
          <w:lang w:eastAsia="pl-PL"/>
        </w:rPr>
        <w:t xml:space="preserve">). Rozmiary 7,0; 8,0; 9,0 mm (do wyboru). 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Zestaw jak wyżej został wskazany przez Zamawiającego w Zadaniu 13 w pozycji 1.</w:t>
      </w: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F30A5F">
        <w:rPr>
          <w:rFonts w:cstheme="minorHAnsi"/>
          <w:sz w:val="20"/>
          <w:szCs w:val="20"/>
          <w:lang w:eastAsia="pl-PL"/>
        </w:rPr>
        <w:t>Zestaw marki PORTEX.</w:t>
      </w:r>
    </w:p>
    <w:p w:rsidR="00F30A5F" w:rsidRDefault="007A78C2" w:rsidP="00954DB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  <w:r w:rsidRPr="007A78C2">
        <w:rPr>
          <w:rFonts w:cstheme="minorHAnsi"/>
          <w:b/>
          <w:color w:val="FF0000"/>
          <w:sz w:val="20"/>
          <w:szCs w:val="20"/>
          <w:lang w:eastAsia="pl-PL"/>
        </w:rPr>
        <w:t>Odpowiedź Zamawiającego: Zamawiający nie dopuszcza.</w:t>
      </w:r>
    </w:p>
    <w:bookmarkEnd w:id="3"/>
    <w:p w:rsidR="007A78C2" w:rsidRDefault="007A78C2" w:rsidP="00954DBA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</w:p>
    <w:p w:rsidR="007A78C2" w:rsidRPr="00F30A5F" w:rsidRDefault="007A78C2" w:rsidP="007A78C2">
      <w:pPr>
        <w:spacing w:after="0" w:line="240" w:lineRule="auto"/>
        <w:ind w:right="-2"/>
        <w:jc w:val="both"/>
        <w:rPr>
          <w:rFonts w:cstheme="minorHAnsi"/>
          <w:b/>
          <w:sz w:val="20"/>
          <w:szCs w:val="20"/>
          <w:lang w:eastAsia="pl-PL"/>
        </w:rPr>
      </w:pPr>
      <w:r w:rsidRPr="00F30A5F">
        <w:rPr>
          <w:rFonts w:cstheme="minorHAnsi"/>
          <w:b/>
          <w:sz w:val="20"/>
          <w:szCs w:val="20"/>
          <w:lang w:eastAsia="pl-PL"/>
        </w:rPr>
        <w:t xml:space="preserve">Pytanie nr </w:t>
      </w:r>
      <w:r>
        <w:rPr>
          <w:rFonts w:cstheme="minorHAnsi"/>
          <w:b/>
          <w:sz w:val="20"/>
          <w:szCs w:val="20"/>
          <w:lang w:eastAsia="pl-PL"/>
        </w:rPr>
        <w:t>6</w:t>
      </w:r>
    </w:p>
    <w:p w:rsidR="007A78C2" w:rsidRPr="007A78C2" w:rsidRDefault="007A78C2" w:rsidP="007A78C2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 xml:space="preserve">Czy Zamawiający w Zadaniu 10  dopuści zestaw do przezskórnej tracheotomii metodą </w:t>
      </w:r>
      <w:proofErr w:type="spellStart"/>
      <w:r w:rsidRPr="007A78C2">
        <w:rPr>
          <w:rFonts w:cstheme="minorHAnsi"/>
          <w:sz w:val="20"/>
          <w:szCs w:val="20"/>
          <w:lang w:eastAsia="pl-PL"/>
        </w:rPr>
        <w:t>Ciaglii</w:t>
      </w:r>
      <w:proofErr w:type="spellEnd"/>
      <w:r w:rsidRPr="007A78C2">
        <w:rPr>
          <w:rFonts w:cstheme="minorHAnsi"/>
          <w:sz w:val="20"/>
          <w:szCs w:val="20"/>
          <w:lang w:eastAsia="pl-PL"/>
        </w:rPr>
        <w:t xml:space="preserve"> </w:t>
      </w:r>
    </w:p>
    <w:p w:rsidR="007A78C2" w:rsidRPr="007A78C2" w:rsidRDefault="007A78C2" w:rsidP="007A78C2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 xml:space="preserve">z jednostopniowym rozszerzadłem, do wprowadzenia metodą </w:t>
      </w:r>
      <w:proofErr w:type="spellStart"/>
      <w:r w:rsidRPr="007A78C2">
        <w:rPr>
          <w:rFonts w:cstheme="minorHAnsi"/>
          <w:sz w:val="20"/>
          <w:szCs w:val="20"/>
          <w:lang w:eastAsia="pl-PL"/>
        </w:rPr>
        <w:t>Seldingera</w:t>
      </w:r>
      <w:proofErr w:type="spellEnd"/>
      <w:r w:rsidRPr="007A78C2">
        <w:rPr>
          <w:rFonts w:cstheme="minorHAnsi"/>
          <w:sz w:val="20"/>
          <w:szCs w:val="20"/>
          <w:lang w:eastAsia="pl-PL"/>
        </w:rPr>
        <w:t xml:space="preserve"> o składzie:</w:t>
      </w:r>
    </w:p>
    <w:p w:rsidR="007A78C2" w:rsidRPr="007A78C2" w:rsidRDefault="007A78C2" w:rsidP="007A78C2">
      <w:pPr>
        <w:numPr>
          <w:ilvl w:val="0"/>
          <w:numId w:val="6"/>
        </w:num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lastRenderedPageBreak/>
        <w:t xml:space="preserve">skalpel, strzykawka 5 ml  i 10 ml </w:t>
      </w:r>
    </w:p>
    <w:p w:rsidR="007A78C2" w:rsidRPr="007A78C2" w:rsidRDefault="007A78C2" w:rsidP="007A78C2">
      <w:pPr>
        <w:numPr>
          <w:ilvl w:val="0"/>
          <w:numId w:val="6"/>
        </w:num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>igła wprowadzająca z kaniulą (igła 16G, kaniula 14G)</w:t>
      </w:r>
    </w:p>
    <w:p w:rsidR="007A78C2" w:rsidRPr="007A78C2" w:rsidRDefault="007A78C2" w:rsidP="007A78C2">
      <w:pPr>
        <w:numPr>
          <w:ilvl w:val="0"/>
          <w:numId w:val="6"/>
        </w:num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>igła wprowadzająca (5 cm), znaczniki głębokości (jako alternatywa dla zestawu igła z kaniulą)</w:t>
      </w:r>
    </w:p>
    <w:p w:rsidR="007A78C2" w:rsidRPr="007A78C2" w:rsidRDefault="007A78C2" w:rsidP="007A78C2">
      <w:pPr>
        <w:numPr>
          <w:ilvl w:val="0"/>
          <w:numId w:val="6"/>
        </w:num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 xml:space="preserve">prowadnica </w:t>
      </w:r>
      <w:proofErr w:type="spellStart"/>
      <w:r w:rsidRPr="007A78C2">
        <w:rPr>
          <w:rFonts w:cstheme="minorHAnsi"/>
          <w:sz w:val="20"/>
          <w:szCs w:val="20"/>
          <w:lang w:eastAsia="pl-PL"/>
        </w:rPr>
        <w:t>Seldingera</w:t>
      </w:r>
      <w:proofErr w:type="spellEnd"/>
      <w:r w:rsidRPr="007A78C2">
        <w:rPr>
          <w:rFonts w:cstheme="minorHAnsi"/>
          <w:sz w:val="20"/>
          <w:szCs w:val="20"/>
          <w:lang w:eastAsia="pl-PL"/>
        </w:rPr>
        <w:t xml:space="preserve"> z zakończeniem „J” i z prowadnikiem, ze znacznikami pozycjonującym; możliwość prowadzenia przy użyciu jednej ręki</w:t>
      </w:r>
    </w:p>
    <w:p w:rsidR="007A78C2" w:rsidRPr="007A78C2" w:rsidRDefault="007A78C2" w:rsidP="007A78C2">
      <w:pPr>
        <w:numPr>
          <w:ilvl w:val="0"/>
          <w:numId w:val="6"/>
        </w:num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>krótkie rozszerzadło 14F</w:t>
      </w:r>
    </w:p>
    <w:p w:rsidR="007A78C2" w:rsidRPr="007A78C2" w:rsidRDefault="007A78C2" w:rsidP="007A78C2">
      <w:pPr>
        <w:numPr>
          <w:ilvl w:val="0"/>
          <w:numId w:val="6"/>
        </w:num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b/>
          <w:sz w:val="20"/>
          <w:szCs w:val="20"/>
          <w:lang w:eastAsia="pl-PL"/>
        </w:rPr>
        <w:t>jednostopniowe rozszerzadło</w:t>
      </w:r>
      <w:r w:rsidRPr="007A78C2">
        <w:rPr>
          <w:rFonts w:cstheme="minorHAnsi"/>
          <w:sz w:val="20"/>
          <w:szCs w:val="20"/>
          <w:lang w:eastAsia="pl-PL"/>
        </w:rPr>
        <w:t xml:space="preserve"> w kształcie „rogu nosorożca” z hydrofilną warstwą poślizgową, ergonomiczny kształt zapobiegający zbyt głębokiemu wprowadzeniu i uszkodzeniu  tchawicy (całość wyprofilowana na </w:t>
      </w:r>
      <w:proofErr w:type="spellStart"/>
      <w:r w:rsidRPr="007A78C2">
        <w:rPr>
          <w:rFonts w:cstheme="minorHAnsi"/>
          <w:sz w:val="20"/>
          <w:szCs w:val="20"/>
          <w:lang w:eastAsia="pl-PL"/>
        </w:rPr>
        <w:t>kszałt</w:t>
      </w:r>
      <w:proofErr w:type="spellEnd"/>
      <w:r w:rsidRPr="007A78C2">
        <w:rPr>
          <w:rFonts w:cstheme="minorHAnsi"/>
          <w:sz w:val="20"/>
          <w:szCs w:val="20"/>
          <w:lang w:eastAsia="pl-PL"/>
        </w:rPr>
        <w:t xml:space="preserve"> „S”); boczny port (w oddaleniu od głowy pacjenta) do wprowadzenia prowadnicy; ze wstępnie założonym długim cewnikiem prowadzącym, z ogranicznikiem głębokości wprowadzenia</w:t>
      </w:r>
    </w:p>
    <w:p w:rsidR="007A78C2" w:rsidRPr="007A78C2" w:rsidRDefault="007A78C2" w:rsidP="007A78C2">
      <w:pPr>
        <w:numPr>
          <w:ilvl w:val="0"/>
          <w:numId w:val="6"/>
        </w:num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>kleszczyki hemostatyczne</w:t>
      </w:r>
    </w:p>
    <w:p w:rsidR="007A78C2" w:rsidRPr="007A78C2" w:rsidRDefault="007A78C2" w:rsidP="007A78C2">
      <w:pPr>
        <w:numPr>
          <w:ilvl w:val="0"/>
          <w:numId w:val="6"/>
        </w:num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>pojemnik do zabezpieczenia zużytych igieł</w:t>
      </w:r>
    </w:p>
    <w:p w:rsidR="007A78C2" w:rsidRPr="007A78C2" w:rsidRDefault="007A78C2" w:rsidP="007A78C2">
      <w:pPr>
        <w:numPr>
          <w:ilvl w:val="0"/>
          <w:numId w:val="6"/>
        </w:num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 xml:space="preserve">rurka </w:t>
      </w:r>
      <w:proofErr w:type="spellStart"/>
      <w:r w:rsidRPr="007A78C2">
        <w:rPr>
          <w:rFonts w:cstheme="minorHAnsi"/>
          <w:sz w:val="20"/>
          <w:szCs w:val="20"/>
          <w:lang w:eastAsia="pl-PL"/>
        </w:rPr>
        <w:t>tracheostomijna</w:t>
      </w:r>
      <w:proofErr w:type="spellEnd"/>
      <w:r w:rsidRPr="007A78C2">
        <w:rPr>
          <w:rFonts w:cstheme="minorHAnsi"/>
          <w:sz w:val="20"/>
          <w:szCs w:val="20"/>
          <w:lang w:eastAsia="pl-PL"/>
        </w:rPr>
        <w:t xml:space="preserve"> z mankietem niskociśnieniowym i odsysaniem znad mankietu, samoblokujący się mandryn do rurki z otworem na prowadnicę </w:t>
      </w:r>
      <w:proofErr w:type="spellStart"/>
      <w:r w:rsidRPr="007A78C2">
        <w:rPr>
          <w:rFonts w:cstheme="minorHAnsi"/>
          <w:sz w:val="20"/>
          <w:szCs w:val="20"/>
          <w:lang w:eastAsia="pl-PL"/>
        </w:rPr>
        <w:t>Seldingera</w:t>
      </w:r>
      <w:proofErr w:type="spellEnd"/>
      <w:r w:rsidRPr="007A78C2">
        <w:rPr>
          <w:rFonts w:cstheme="minorHAnsi"/>
          <w:sz w:val="20"/>
          <w:szCs w:val="20"/>
          <w:lang w:eastAsia="pl-PL"/>
        </w:rPr>
        <w:t xml:space="preserve">, z elastycznym i przezroczystym kołnierzem </w:t>
      </w:r>
    </w:p>
    <w:p w:rsidR="007A78C2" w:rsidRPr="007A78C2" w:rsidRDefault="007A78C2" w:rsidP="007A78C2">
      <w:pPr>
        <w:numPr>
          <w:ilvl w:val="0"/>
          <w:numId w:val="6"/>
        </w:num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 xml:space="preserve">prowadnik (dedykowany do rozmiaru rurki </w:t>
      </w:r>
      <w:proofErr w:type="spellStart"/>
      <w:r w:rsidRPr="007A78C2">
        <w:rPr>
          <w:rFonts w:cstheme="minorHAnsi"/>
          <w:sz w:val="20"/>
          <w:szCs w:val="20"/>
          <w:lang w:eastAsia="pl-PL"/>
        </w:rPr>
        <w:t>tracheostomijnej</w:t>
      </w:r>
      <w:proofErr w:type="spellEnd"/>
      <w:r w:rsidRPr="007A78C2">
        <w:rPr>
          <w:rFonts w:cstheme="minorHAnsi"/>
          <w:sz w:val="20"/>
          <w:szCs w:val="20"/>
          <w:lang w:eastAsia="pl-PL"/>
        </w:rPr>
        <w:t xml:space="preserve">), z otworem na prowadnicę </w:t>
      </w:r>
      <w:proofErr w:type="spellStart"/>
      <w:r w:rsidRPr="007A78C2">
        <w:rPr>
          <w:rFonts w:cstheme="minorHAnsi"/>
          <w:sz w:val="20"/>
          <w:szCs w:val="20"/>
          <w:lang w:eastAsia="pl-PL"/>
        </w:rPr>
        <w:t>Seldingera</w:t>
      </w:r>
      <w:proofErr w:type="spellEnd"/>
      <w:r w:rsidRPr="007A78C2">
        <w:rPr>
          <w:rFonts w:cstheme="minorHAnsi"/>
          <w:sz w:val="20"/>
          <w:szCs w:val="20"/>
          <w:lang w:eastAsia="pl-PL"/>
        </w:rPr>
        <w:t xml:space="preserve">,  </w:t>
      </w:r>
    </w:p>
    <w:p w:rsidR="007A78C2" w:rsidRPr="007A78C2" w:rsidRDefault="007A78C2" w:rsidP="007A78C2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>z miękkim stożkowym zakończeniem i z uchwytem</w:t>
      </w:r>
    </w:p>
    <w:p w:rsidR="007A78C2" w:rsidRPr="007A78C2" w:rsidRDefault="007A78C2" w:rsidP="007A78C2">
      <w:pPr>
        <w:numPr>
          <w:ilvl w:val="0"/>
          <w:numId w:val="6"/>
        </w:num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>2 wymienne kaniule wewnętrzne do rurki, szczoteczka do kaniul, opaska do rurki, podkładka pod rurkę</w:t>
      </w:r>
    </w:p>
    <w:p w:rsidR="007A78C2" w:rsidRPr="007A78C2" w:rsidRDefault="007A78C2" w:rsidP="007A78C2">
      <w:pPr>
        <w:numPr>
          <w:ilvl w:val="0"/>
          <w:numId w:val="6"/>
        </w:num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>klin do rozłączenia układu, jałowy żel poślizgowy, gaziki.</w:t>
      </w:r>
    </w:p>
    <w:p w:rsidR="007A78C2" w:rsidRPr="007A78C2" w:rsidRDefault="007A78C2" w:rsidP="007A78C2">
      <w:pPr>
        <w:spacing w:after="0" w:line="240" w:lineRule="auto"/>
        <w:ind w:right="-2"/>
        <w:jc w:val="both"/>
        <w:rPr>
          <w:rFonts w:cstheme="minorHAnsi"/>
          <w:sz w:val="20"/>
          <w:szCs w:val="20"/>
          <w:lang w:eastAsia="pl-PL"/>
        </w:rPr>
      </w:pPr>
      <w:r w:rsidRPr="007A78C2">
        <w:rPr>
          <w:rFonts w:cstheme="minorHAnsi"/>
          <w:sz w:val="20"/>
          <w:szCs w:val="20"/>
          <w:lang w:eastAsia="pl-PL"/>
        </w:rPr>
        <w:t>Zestaw sterylny, jednorazowego użytku, zapakowany na tacy (</w:t>
      </w:r>
      <w:proofErr w:type="spellStart"/>
      <w:r w:rsidRPr="007A78C2">
        <w:rPr>
          <w:rFonts w:cstheme="minorHAnsi"/>
          <w:sz w:val="20"/>
          <w:szCs w:val="20"/>
          <w:lang w:eastAsia="pl-PL"/>
        </w:rPr>
        <w:t>wszsytkie</w:t>
      </w:r>
      <w:proofErr w:type="spellEnd"/>
      <w:r w:rsidRPr="007A78C2">
        <w:rPr>
          <w:rFonts w:cstheme="minorHAnsi"/>
          <w:sz w:val="20"/>
          <w:szCs w:val="20"/>
          <w:lang w:eastAsia="pl-PL"/>
        </w:rPr>
        <w:t xml:space="preserve"> elementy wraz z rurką </w:t>
      </w:r>
      <w:proofErr w:type="spellStart"/>
      <w:r w:rsidRPr="007A78C2">
        <w:rPr>
          <w:rFonts w:cstheme="minorHAnsi"/>
          <w:sz w:val="20"/>
          <w:szCs w:val="20"/>
          <w:lang w:eastAsia="pl-PL"/>
        </w:rPr>
        <w:t>tracheostomijjną</w:t>
      </w:r>
      <w:proofErr w:type="spellEnd"/>
      <w:r w:rsidRPr="007A78C2">
        <w:rPr>
          <w:rFonts w:cstheme="minorHAnsi"/>
          <w:sz w:val="20"/>
          <w:szCs w:val="20"/>
          <w:lang w:eastAsia="pl-PL"/>
        </w:rPr>
        <w:t>). Rozmiary 7,0; 8,0; 9,0 mm (do wyboru). Zestaw marki PORTEX.</w:t>
      </w:r>
    </w:p>
    <w:p w:rsidR="007A78C2" w:rsidRDefault="007A78C2" w:rsidP="007A78C2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  <w:r w:rsidRPr="007A78C2">
        <w:rPr>
          <w:rFonts w:cstheme="minorHAnsi"/>
          <w:b/>
          <w:color w:val="FF0000"/>
          <w:sz w:val="20"/>
          <w:szCs w:val="20"/>
          <w:lang w:eastAsia="pl-PL"/>
        </w:rPr>
        <w:t>Odpowiedź Zamawiającego: Zamawiający nie dopuszcza.</w:t>
      </w:r>
    </w:p>
    <w:p w:rsidR="007A78C2" w:rsidRDefault="007A78C2" w:rsidP="007A78C2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</w:p>
    <w:p w:rsidR="00F30A5F" w:rsidRPr="00F30A5F" w:rsidRDefault="00F30A5F" w:rsidP="00F30A5F">
      <w:pPr>
        <w:spacing w:after="0" w:line="240" w:lineRule="auto"/>
        <w:ind w:right="-2"/>
        <w:jc w:val="both"/>
        <w:rPr>
          <w:rFonts w:cstheme="minorHAnsi"/>
          <w:b/>
          <w:color w:val="FF0000"/>
          <w:sz w:val="20"/>
          <w:szCs w:val="20"/>
          <w:lang w:eastAsia="pl-PL"/>
        </w:rPr>
      </w:pPr>
    </w:p>
    <w:p w:rsidR="00F30A5F" w:rsidRDefault="00F30A5F" w:rsidP="00F30A5F">
      <w:pPr>
        <w:spacing w:after="0" w:line="240" w:lineRule="auto"/>
        <w:ind w:right="-2"/>
        <w:jc w:val="both"/>
        <w:rPr>
          <w:rFonts w:cstheme="minorHAnsi"/>
          <w:b/>
          <w:color w:val="000000" w:themeColor="text1"/>
          <w:sz w:val="20"/>
          <w:szCs w:val="20"/>
          <w:lang w:eastAsia="pl-PL"/>
        </w:rPr>
      </w:pPr>
      <w:r w:rsidRPr="007A78C2">
        <w:rPr>
          <w:rFonts w:cstheme="minorHAnsi"/>
          <w:b/>
          <w:color w:val="000000" w:themeColor="text1"/>
          <w:sz w:val="20"/>
          <w:szCs w:val="20"/>
          <w:lang w:eastAsia="pl-PL"/>
        </w:rPr>
        <w:t>W załączeniu zmodyfikowany</w:t>
      </w:r>
      <w:r w:rsidRPr="007A78C2">
        <w:rPr>
          <w:rFonts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7A78C2">
        <w:rPr>
          <w:rFonts w:cstheme="minorHAnsi"/>
          <w:b/>
          <w:color w:val="000000" w:themeColor="text1"/>
          <w:sz w:val="20"/>
          <w:szCs w:val="20"/>
          <w:lang w:eastAsia="pl-PL"/>
        </w:rPr>
        <w:t xml:space="preserve">– Załącznik nr </w:t>
      </w:r>
      <w:r w:rsidRPr="007A78C2">
        <w:rPr>
          <w:rFonts w:cstheme="minorHAnsi"/>
          <w:b/>
          <w:color w:val="000000" w:themeColor="text1"/>
          <w:sz w:val="20"/>
          <w:szCs w:val="20"/>
          <w:lang w:eastAsia="pl-PL"/>
        </w:rPr>
        <w:t>5</w:t>
      </w:r>
      <w:r w:rsidRPr="007A78C2">
        <w:rPr>
          <w:rFonts w:cstheme="minorHAnsi"/>
          <w:b/>
          <w:color w:val="000000" w:themeColor="text1"/>
          <w:sz w:val="20"/>
          <w:szCs w:val="20"/>
          <w:lang w:eastAsia="pl-PL"/>
        </w:rPr>
        <w:t xml:space="preserve"> do SWZ</w:t>
      </w:r>
      <w:r w:rsidRPr="007A78C2">
        <w:rPr>
          <w:rFonts w:cstheme="minorHAnsi"/>
          <w:b/>
          <w:color w:val="000000" w:themeColor="text1"/>
          <w:sz w:val="20"/>
          <w:szCs w:val="20"/>
          <w:lang w:eastAsia="pl-PL"/>
        </w:rPr>
        <w:t xml:space="preserve"> (Projekt Umowy)</w:t>
      </w:r>
      <w:r w:rsidR="00BB59EF">
        <w:rPr>
          <w:rFonts w:cstheme="minorHAnsi"/>
          <w:b/>
          <w:color w:val="000000" w:themeColor="text1"/>
          <w:sz w:val="20"/>
          <w:szCs w:val="20"/>
          <w:lang w:eastAsia="pl-PL"/>
        </w:rPr>
        <w:t xml:space="preserve"> oraz załącznik nr 1 do SWZ (Formularz Oferty)</w:t>
      </w:r>
      <w:bookmarkStart w:id="4" w:name="_GoBack"/>
      <w:bookmarkEnd w:id="4"/>
    </w:p>
    <w:p w:rsidR="007A78C2" w:rsidRPr="007A78C2" w:rsidRDefault="007A78C2" w:rsidP="00F30A5F">
      <w:pPr>
        <w:spacing w:after="0" w:line="240" w:lineRule="auto"/>
        <w:ind w:right="-2"/>
        <w:jc w:val="both"/>
        <w:rPr>
          <w:rFonts w:cstheme="minorHAnsi"/>
          <w:b/>
          <w:color w:val="000000" w:themeColor="text1"/>
          <w:sz w:val="20"/>
          <w:szCs w:val="20"/>
          <w:lang w:eastAsia="pl-PL"/>
        </w:rPr>
      </w:pPr>
    </w:p>
    <w:p w:rsidR="00200756" w:rsidRPr="00F056DF" w:rsidRDefault="00550412" w:rsidP="00F056D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WSZYSTKIE WPROWADZONE ZMIANY STAJĄ SIĘ INTEGRALNĄ CZĘŚCIĄ SWZ I ZASTĘPUJĄ LUB UZUPEŁNIAJĄ ZAPISY SWZ W ODPOWIEDNIM ZAKRESIE</w:t>
      </w:r>
      <w:bookmarkStart w:id="5" w:name="_Hlk14683728"/>
    </w:p>
    <w:p w:rsidR="00200756" w:rsidRDefault="00200756">
      <w:pPr>
        <w:shd w:val="clear" w:color="auto" w:fill="FFFFFF"/>
        <w:spacing w:after="0" w:line="240" w:lineRule="auto"/>
        <w:ind w:left="6468" w:right="11"/>
        <w:jc w:val="both"/>
        <w:rPr>
          <w:rFonts w:cstheme="minorHAnsi"/>
          <w:color w:val="000000"/>
          <w:sz w:val="20"/>
          <w:szCs w:val="20"/>
        </w:rPr>
      </w:pPr>
    </w:p>
    <w:p w:rsidR="007F48DF" w:rsidRDefault="00550412" w:rsidP="002735AE">
      <w:pPr>
        <w:shd w:val="clear" w:color="auto" w:fill="FFFFFF"/>
        <w:spacing w:after="0" w:line="240" w:lineRule="auto"/>
        <w:ind w:left="7884" w:right="11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Z poważaniem</w:t>
      </w:r>
      <w:bookmarkEnd w:id="5"/>
    </w:p>
    <w:p w:rsidR="002735AE" w:rsidRDefault="002735AE">
      <w:pPr>
        <w:shd w:val="clear" w:color="auto" w:fill="FFFFFF"/>
        <w:spacing w:after="0" w:line="240" w:lineRule="auto"/>
        <w:ind w:left="6468" w:right="11"/>
        <w:jc w:val="both"/>
        <w:rPr>
          <w:rFonts w:cstheme="minorHAnsi"/>
          <w:color w:val="000000"/>
          <w:sz w:val="20"/>
          <w:szCs w:val="20"/>
        </w:rPr>
      </w:pPr>
    </w:p>
    <w:p w:rsidR="00200756" w:rsidRDefault="003F4451" w:rsidP="002735AE">
      <w:pPr>
        <w:shd w:val="clear" w:color="auto" w:fill="FFFFFF"/>
        <w:spacing w:after="0" w:line="240" w:lineRule="auto"/>
        <w:ind w:left="6468" w:right="11"/>
        <w:jc w:val="right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Zastępca </w:t>
      </w:r>
      <w:r w:rsidR="00200756">
        <w:rPr>
          <w:rFonts w:cstheme="minorHAnsi"/>
          <w:color w:val="000000"/>
          <w:sz w:val="20"/>
          <w:szCs w:val="20"/>
        </w:rPr>
        <w:t>Przewodniczą</w:t>
      </w:r>
      <w:r>
        <w:rPr>
          <w:rFonts w:cstheme="minorHAnsi"/>
          <w:color w:val="000000"/>
          <w:sz w:val="20"/>
          <w:szCs w:val="20"/>
        </w:rPr>
        <w:t xml:space="preserve">cego </w:t>
      </w:r>
      <w:r w:rsidR="00200756">
        <w:rPr>
          <w:rFonts w:cstheme="minorHAnsi"/>
          <w:color w:val="000000"/>
          <w:sz w:val="20"/>
          <w:szCs w:val="20"/>
        </w:rPr>
        <w:t xml:space="preserve">Komisji Przetargowej </w:t>
      </w:r>
    </w:p>
    <w:p w:rsidR="007F48DF" w:rsidRDefault="002751A1" w:rsidP="00F056DF">
      <w:pPr>
        <w:shd w:val="clear" w:color="auto" w:fill="FFFFFF"/>
        <w:spacing w:after="0" w:line="240" w:lineRule="auto"/>
        <w:ind w:left="6468" w:right="11"/>
        <w:jc w:val="right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Małgorzata Brancewicz-Malec</w:t>
      </w:r>
    </w:p>
    <w:sectPr w:rsidR="007F48DF" w:rsidSect="000A7AA3">
      <w:headerReference w:type="default" r:id="rId8"/>
      <w:footerReference w:type="default" r:id="rId9"/>
      <w:pgSz w:w="11906" w:h="16838"/>
      <w:pgMar w:top="1417" w:right="1417" w:bottom="1417" w:left="1417" w:header="568" w:footer="45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EB8" w:rsidRDefault="00E07EB8">
      <w:pPr>
        <w:spacing w:after="0" w:line="240" w:lineRule="auto"/>
      </w:pPr>
      <w:r>
        <w:separator/>
      </w:r>
    </w:p>
  </w:endnote>
  <w:endnote w:type="continuationSeparator" w:id="0">
    <w:p w:rsidR="00E07EB8" w:rsidRDefault="00E07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Fira Sans Condensed SemiBold">
    <w:altName w:val="Arial"/>
    <w:charset w:val="EE"/>
    <w:family w:val="swiss"/>
    <w:pitch w:val="variable"/>
    <w:sig w:usb0="600002FF" w:usb1="00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8DF" w:rsidRDefault="00A309C4">
    <w:pPr>
      <w:pStyle w:val="Stopka"/>
      <w:spacing w:before="240"/>
      <w:rPr>
        <w:rFonts w:ascii="Century Gothic" w:hAnsi="Century Gothic"/>
        <w:b/>
        <w:color w:val="004685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634</wp:posOffset>
              </wp:positionV>
              <wp:extent cx="5724525" cy="0"/>
              <wp:effectExtent l="0" t="0" r="0" b="0"/>
              <wp:wrapNone/>
              <wp:docPr id="2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69B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68B8A8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05pt" to="450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" o:allowincell="f" strokecolor="#0069b4" strokeweight=".35mm">
              <v:stroke joinstyle="miter"/>
            </v:line>
          </w:pict>
        </mc:Fallback>
      </mc:AlternateContent>
    </w:r>
    <w:r w:rsidR="00550412">
      <w:rPr>
        <w:rFonts w:ascii="Century Gothic" w:hAnsi="Century Gothic"/>
        <w:b/>
        <w:color w:val="004685"/>
        <w:sz w:val="16"/>
        <w:szCs w:val="16"/>
      </w:rPr>
      <w:t>Szpitale Pomorskie Sp. z o.o.</w:t>
    </w:r>
    <w:r w:rsidR="00550412">
      <w:rPr>
        <w:b/>
        <w:sz w:val="16"/>
        <w:szCs w:val="16"/>
        <w:lang w:eastAsia="pl-PL"/>
      </w:rPr>
      <w:t xml:space="preserve"> </w:t>
    </w:r>
  </w:p>
  <w:p w:rsidR="007F48DF" w:rsidRDefault="00550412">
    <w:pPr>
      <w:pStyle w:val="Stopka"/>
      <w:rPr>
        <w:rFonts w:ascii="Century Gothic" w:hAnsi="Century Gothic"/>
        <w:color w:val="004685"/>
        <w:sz w:val="16"/>
        <w:szCs w:val="16"/>
      </w:rPr>
    </w:pPr>
    <w:r>
      <w:rPr>
        <w:rFonts w:ascii="Century Gothic" w:hAnsi="Century Gothic"/>
        <w:color w:val="004685"/>
        <w:sz w:val="16"/>
        <w:szCs w:val="16"/>
      </w:rPr>
      <w:t xml:space="preserve">ul. Powstania Styczniowego 1, 81-519 Gdynia | tel. + 48 58 72 60 119; fax +48 58 72 60  332 </w:t>
    </w:r>
  </w:p>
  <w:p w:rsidR="007F48DF" w:rsidRDefault="00550412">
    <w:pPr>
      <w:pStyle w:val="Stopka"/>
      <w:rPr>
        <w:rFonts w:ascii="Century Gothic" w:hAnsi="Century Gothic"/>
        <w:color w:val="004685"/>
        <w:sz w:val="16"/>
        <w:szCs w:val="16"/>
      </w:rPr>
    </w:pPr>
    <w:r>
      <w:rPr>
        <w:rFonts w:ascii="Century Gothic" w:hAnsi="Century Gothic"/>
        <w:color w:val="004685"/>
        <w:sz w:val="16"/>
        <w:szCs w:val="16"/>
      </w:rPr>
      <w:t xml:space="preserve">Sąd Rejonowy Gdańsk-Północ w Gdańsku, VIII Wydział Gospodarczy KRS 0000492201 </w:t>
    </w:r>
  </w:p>
  <w:p w:rsidR="007F48DF" w:rsidRDefault="00550412">
    <w:pPr>
      <w:pStyle w:val="Stopka"/>
      <w:rPr>
        <w:sz w:val="16"/>
        <w:szCs w:val="16"/>
      </w:rPr>
    </w:pPr>
    <w:r>
      <w:rPr>
        <w:rFonts w:ascii="Century Gothic" w:hAnsi="Century Gothic"/>
        <w:color w:val="004685"/>
        <w:sz w:val="16"/>
        <w:szCs w:val="16"/>
      </w:rPr>
      <w:t xml:space="preserve">| kapitał zakładowy: </w:t>
    </w:r>
    <w:r w:rsidR="00EA0343" w:rsidRPr="00EA0343">
      <w:rPr>
        <w:rFonts w:ascii="Century Gothic" w:hAnsi="Century Gothic"/>
        <w:color w:val="004685"/>
        <w:sz w:val="16"/>
        <w:szCs w:val="16"/>
      </w:rPr>
      <w:t>185 761 500,00 zł</w:t>
    </w:r>
  </w:p>
  <w:p w:rsidR="007F48DF" w:rsidRDefault="00550412">
    <w:pPr>
      <w:pStyle w:val="Stopka"/>
      <w:rPr>
        <w:rFonts w:ascii="Century Gothic" w:hAnsi="Century Gothic"/>
        <w:color w:val="004685"/>
        <w:sz w:val="16"/>
        <w:szCs w:val="16"/>
      </w:rPr>
    </w:pPr>
    <w:r>
      <w:rPr>
        <w:rFonts w:ascii="Century Gothic" w:hAnsi="Century Gothic"/>
        <w:color w:val="004685"/>
        <w:sz w:val="16"/>
        <w:szCs w:val="16"/>
      </w:rPr>
      <w:t>NIP 586 22 86 770 | REGON 190 14 16 12 | Bank PKO BP S.A. nr 68 1440 1084 0000 0000 0011 0148</w:t>
    </w:r>
  </w:p>
  <w:p w:rsidR="007F48DF" w:rsidRDefault="00550412">
    <w:pPr>
      <w:pStyle w:val="Stopka"/>
      <w:rPr>
        <w:rFonts w:ascii="Century Gothic" w:hAnsi="Century Gothic"/>
        <w:b/>
        <w:color w:val="004685"/>
        <w:sz w:val="16"/>
        <w:szCs w:val="16"/>
      </w:rPr>
    </w:pPr>
    <w:r>
      <w:rPr>
        <w:rFonts w:ascii="Century Gothic" w:hAnsi="Century Gothic"/>
        <w:color w:val="004685"/>
        <w:sz w:val="16"/>
        <w:szCs w:val="16"/>
      </w:rPr>
      <w:t>e-mail: sekretariat@szpitalepomorskie.eu |</w:t>
    </w:r>
    <w:r>
      <w:rPr>
        <w:rFonts w:ascii="Century Gothic" w:hAnsi="Century Gothic"/>
        <w:b/>
        <w:color w:val="004685"/>
        <w:sz w:val="16"/>
        <w:szCs w:val="16"/>
      </w:rPr>
      <w:t xml:space="preserve"> szpitalepomorskie.eu</w:t>
    </w:r>
  </w:p>
  <w:p w:rsidR="007F48DF" w:rsidRDefault="00550412">
    <w:pPr>
      <w:pStyle w:val="Stopka"/>
      <w:rPr>
        <w:rFonts w:cstheme="minorHAnsi"/>
        <w:color w:val="004685"/>
        <w:sz w:val="18"/>
        <w:szCs w:val="18"/>
      </w:rPr>
    </w:pPr>
    <w:r>
      <w:rPr>
        <w:rFonts w:cstheme="minorHAnsi"/>
        <w:b/>
        <w:color w:val="4472C4" w:themeColor="accent1"/>
        <w:sz w:val="18"/>
        <w:szCs w:val="18"/>
      </w:rPr>
      <w:t>D25M/251/N/</w:t>
    </w:r>
    <w:r w:rsidR="000C57C1">
      <w:rPr>
        <w:rFonts w:cstheme="minorHAnsi"/>
        <w:b/>
        <w:color w:val="4472C4" w:themeColor="accent1"/>
        <w:sz w:val="18"/>
        <w:szCs w:val="18"/>
      </w:rPr>
      <w:t>1</w:t>
    </w:r>
    <w:r w:rsidR="00EA5898">
      <w:rPr>
        <w:rFonts w:cstheme="minorHAnsi"/>
        <w:b/>
        <w:color w:val="4472C4" w:themeColor="accent1"/>
        <w:sz w:val="18"/>
        <w:szCs w:val="18"/>
      </w:rPr>
      <w:t>-</w:t>
    </w:r>
    <w:r w:rsidR="000C57C1">
      <w:rPr>
        <w:rFonts w:cstheme="minorHAnsi"/>
        <w:b/>
        <w:color w:val="4472C4" w:themeColor="accent1"/>
        <w:sz w:val="18"/>
        <w:szCs w:val="18"/>
      </w:rPr>
      <w:t>5</w:t>
    </w:r>
    <w:r>
      <w:rPr>
        <w:rFonts w:cstheme="minorHAnsi"/>
        <w:b/>
        <w:color w:val="4472C4" w:themeColor="accent1"/>
        <w:sz w:val="18"/>
        <w:szCs w:val="18"/>
      </w:rPr>
      <w:t>rj/2</w:t>
    </w:r>
    <w:r w:rsidR="000C57C1">
      <w:rPr>
        <w:rFonts w:cstheme="minorHAnsi"/>
        <w:b/>
        <w:color w:val="4472C4" w:themeColor="accent1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EB8" w:rsidRDefault="00E07EB8">
      <w:pPr>
        <w:spacing w:after="0" w:line="240" w:lineRule="auto"/>
      </w:pPr>
      <w:r>
        <w:separator/>
      </w:r>
    </w:p>
  </w:footnote>
  <w:footnote w:type="continuationSeparator" w:id="0">
    <w:p w:rsidR="00E07EB8" w:rsidRDefault="00E07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8DF" w:rsidRDefault="0055041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742565" cy="361950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256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:rsidR="007F48DF" w:rsidRDefault="00550412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7185D"/>
    <w:multiLevelType w:val="hybridMultilevel"/>
    <w:tmpl w:val="B7085CDC"/>
    <w:lvl w:ilvl="0" w:tplc="DFD4636E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786A51"/>
    <w:multiLevelType w:val="hybridMultilevel"/>
    <w:tmpl w:val="ED8A78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01D63"/>
    <w:multiLevelType w:val="hybridMultilevel"/>
    <w:tmpl w:val="D532896A"/>
    <w:lvl w:ilvl="0" w:tplc="610A3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5596B"/>
    <w:multiLevelType w:val="hybridMultilevel"/>
    <w:tmpl w:val="B986DAA6"/>
    <w:lvl w:ilvl="0" w:tplc="22125C34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82A7F"/>
    <w:multiLevelType w:val="hybridMultilevel"/>
    <w:tmpl w:val="63984CB0"/>
    <w:lvl w:ilvl="0" w:tplc="876A9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534B7"/>
    <w:multiLevelType w:val="hybridMultilevel"/>
    <w:tmpl w:val="DBE69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DF"/>
    <w:rsid w:val="00035177"/>
    <w:rsid w:val="00085D96"/>
    <w:rsid w:val="000A1C27"/>
    <w:rsid w:val="000A7AA3"/>
    <w:rsid w:val="000C57C1"/>
    <w:rsid w:val="0013682F"/>
    <w:rsid w:val="00164B2F"/>
    <w:rsid w:val="00166DBD"/>
    <w:rsid w:val="00172CDC"/>
    <w:rsid w:val="00200756"/>
    <w:rsid w:val="002562CD"/>
    <w:rsid w:val="00263D7E"/>
    <w:rsid w:val="00265AE5"/>
    <w:rsid w:val="002735AE"/>
    <w:rsid w:val="00273A9E"/>
    <w:rsid w:val="002751A1"/>
    <w:rsid w:val="002A36D0"/>
    <w:rsid w:val="002A49B4"/>
    <w:rsid w:val="002B36C0"/>
    <w:rsid w:val="00376F43"/>
    <w:rsid w:val="003A4F69"/>
    <w:rsid w:val="003F4451"/>
    <w:rsid w:val="00443648"/>
    <w:rsid w:val="005038EC"/>
    <w:rsid w:val="00505294"/>
    <w:rsid w:val="00550412"/>
    <w:rsid w:val="0057186A"/>
    <w:rsid w:val="00590999"/>
    <w:rsid w:val="005B3175"/>
    <w:rsid w:val="005D62CF"/>
    <w:rsid w:val="00602587"/>
    <w:rsid w:val="00605D6A"/>
    <w:rsid w:val="006258CE"/>
    <w:rsid w:val="00651166"/>
    <w:rsid w:val="007217EE"/>
    <w:rsid w:val="00724BB8"/>
    <w:rsid w:val="00747271"/>
    <w:rsid w:val="007574DF"/>
    <w:rsid w:val="00770547"/>
    <w:rsid w:val="007914B8"/>
    <w:rsid w:val="007A78C2"/>
    <w:rsid w:val="007F48DF"/>
    <w:rsid w:val="007F5265"/>
    <w:rsid w:val="00865CAE"/>
    <w:rsid w:val="00866599"/>
    <w:rsid w:val="00867935"/>
    <w:rsid w:val="008F2B72"/>
    <w:rsid w:val="00927C25"/>
    <w:rsid w:val="00940F15"/>
    <w:rsid w:val="00954DBA"/>
    <w:rsid w:val="00987402"/>
    <w:rsid w:val="00991465"/>
    <w:rsid w:val="009B549D"/>
    <w:rsid w:val="00A057BB"/>
    <w:rsid w:val="00A309C4"/>
    <w:rsid w:val="00AA773C"/>
    <w:rsid w:val="00AF765A"/>
    <w:rsid w:val="00B04EF3"/>
    <w:rsid w:val="00B16684"/>
    <w:rsid w:val="00B651F1"/>
    <w:rsid w:val="00BB59EF"/>
    <w:rsid w:val="00C941A7"/>
    <w:rsid w:val="00CA54DD"/>
    <w:rsid w:val="00CE4DE1"/>
    <w:rsid w:val="00D103AF"/>
    <w:rsid w:val="00D646AA"/>
    <w:rsid w:val="00E07EB8"/>
    <w:rsid w:val="00E153F2"/>
    <w:rsid w:val="00E45500"/>
    <w:rsid w:val="00EA0343"/>
    <w:rsid w:val="00EA5898"/>
    <w:rsid w:val="00F056DF"/>
    <w:rsid w:val="00F30A5F"/>
    <w:rsid w:val="00FA144C"/>
    <w:rsid w:val="00FD5C76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3EECAD"/>
  <w15:docId w15:val="{0D62FE19-5158-4B51-A203-B256CD6B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0A5F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2D6A"/>
  </w:style>
  <w:style w:type="character" w:customStyle="1" w:styleId="StopkaZnak">
    <w:name w:val="Stopka Znak"/>
    <w:basedOn w:val="Domylnaczcionkaakapitu"/>
    <w:link w:val="Stopka"/>
    <w:uiPriority w:val="99"/>
    <w:qFormat/>
    <w:rsid w:val="00E42D6A"/>
  </w:style>
  <w:style w:type="character" w:styleId="Hipercze">
    <w:name w:val="Hyperlink"/>
    <w:basedOn w:val="Domylnaczcionkaakapitu"/>
    <w:uiPriority w:val="99"/>
    <w:unhideWhenUsed/>
    <w:rsid w:val="00144B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44B8A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F0712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549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uiPriority w:val="99"/>
    <w:unhideWhenUsed/>
    <w:qFormat/>
    <w:rsid w:val="00A549F3"/>
    <w:rPr>
      <w:vertAlign w:val="superscript"/>
    </w:rPr>
  </w:style>
  <w:style w:type="character" w:styleId="Odwoanieprzypisudolnego">
    <w:name w:val="footnote reference"/>
    <w:rsid w:val="000A7AA3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F21E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21E13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AkapitzlistZnak">
    <w:name w:val="Akapit z listą Znak"/>
    <w:link w:val="Akapitzlist"/>
    <w:uiPriority w:val="34"/>
    <w:qFormat/>
    <w:locked/>
    <w:rsid w:val="00F21E13"/>
  </w:style>
  <w:style w:type="character" w:customStyle="1" w:styleId="normaltextrun">
    <w:name w:val="normaltextrun"/>
    <w:basedOn w:val="Domylnaczcionkaakapitu"/>
    <w:qFormat/>
    <w:rsid w:val="008F2E06"/>
  </w:style>
  <w:style w:type="character" w:customStyle="1" w:styleId="eop">
    <w:name w:val="eop"/>
    <w:basedOn w:val="Domylnaczcionkaakapitu"/>
    <w:qFormat/>
    <w:rsid w:val="008F2E06"/>
  </w:style>
  <w:style w:type="character" w:customStyle="1" w:styleId="fontstyle01">
    <w:name w:val="fontstyle01"/>
    <w:basedOn w:val="Domylnaczcionkaakapitu"/>
    <w:qFormat/>
    <w:rsid w:val="00032561"/>
    <w:rPr>
      <w:rFonts w:ascii="Lato" w:hAnsi="Lato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qFormat/>
    <w:rsid w:val="00032561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20C9D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0453B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50453B"/>
    <w:rPr>
      <w:vertAlign w:val="superscript"/>
    </w:rPr>
  </w:style>
  <w:style w:type="character" w:styleId="Odwoanieprzypisukocowego">
    <w:name w:val="endnote reference"/>
    <w:rsid w:val="000A7AA3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F4A2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520B7B"/>
    <w:rPr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0A7AA3"/>
    <w:pPr>
      <w:spacing w:after="140" w:line="276" w:lineRule="auto"/>
    </w:pPr>
  </w:style>
  <w:style w:type="paragraph" w:styleId="Lista">
    <w:name w:val="List"/>
    <w:basedOn w:val="Tekstpodstawowy"/>
    <w:rsid w:val="000A7AA3"/>
    <w:rPr>
      <w:rFonts w:cs="Arial"/>
    </w:rPr>
  </w:style>
  <w:style w:type="paragraph" w:styleId="Legenda">
    <w:name w:val="caption"/>
    <w:basedOn w:val="Normalny"/>
    <w:qFormat/>
    <w:rsid w:val="000A7A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A7AA3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776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  <w:rsid w:val="000A7AA3"/>
  </w:style>
  <w:style w:type="paragraph" w:styleId="Stopka">
    <w:name w:val="footer"/>
    <w:basedOn w:val="Normalny"/>
    <w:link w:val="StopkaZnak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F07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C67AE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80669"/>
    <w:pPr>
      <w:ind w:left="720"/>
      <w:contextualSpacing/>
    </w:pPr>
  </w:style>
  <w:style w:type="paragraph" w:customStyle="1" w:styleId="Normal1">
    <w:name w:val="Normal1"/>
    <w:basedOn w:val="Normalny"/>
    <w:uiPriority w:val="99"/>
    <w:qFormat/>
    <w:rsid w:val="00A549F3"/>
    <w:pPr>
      <w:spacing w:before="120" w:after="120" w:line="288" w:lineRule="auto"/>
      <w:jc w:val="both"/>
    </w:pPr>
    <w:rPr>
      <w:rFonts w:ascii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4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21E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paragraph">
    <w:name w:val="paragraph"/>
    <w:basedOn w:val="Normalny"/>
    <w:qFormat/>
    <w:rsid w:val="008F2E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20C9D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5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0F4A27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dniasiatka21">
    <w:name w:val="Średnia siatka 21"/>
    <w:uiPriority w:val="1"/>
    <w:qFormat/>
    <w:rsid w:val="00DF3A9E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520B7B"/>
    <w:pPr>
      <w:spacing w:after="120"/>
      <w:ind w:left="283"/>
    </w:pPr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63D7E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A49B4"/>
    <w:rPr>
      <w:color w:val="605E5C"/>
      <w:shd w:val="clear" w:color="auto" w:fill="E1DFDD"/>
    </w:rPr>
  </w:style>
  <w:style w:type="character" w:customStyle="1" w:styleId="alb-s">
    <w:name w:val="a_lb-s"/>
    <w:basedOn w:val="Domylnaczcionkaakapitu"/>
    <w:rsid w:val="00CA54DD"/>
  </w:style>
  <w:style w:type="character" w:styleId="Uwydatnienie">
    <w:name w:val="Emphasis"/>
    <w:basedOn w:val="Domylnaczcionkaakapitu"/>
    <w:uiPriority w:val="20"/>
    <w:qFormat/>
    <w:rsid w:val="00CA54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83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58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95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0B98A-5814-46E7-A196-572055BD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1145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Szpitale Pomorskie Sp. z o.o.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Kondraciuk</dc:creator>
  <cp:lastModifiedBy>Patrycja Sagan</cp:lastModifiedBy>
  <cp:revision>3</cp:revision>
  <cp:lastPrinted>2025-11-24T09:48:00Z</cp:lastPrinted>
  <dcterms:created xsi:type="dcterms:W3CDTF">2025-11-24T08:51:00Z</dcterms:created>
  <dcterms:modified xsi:type="dcterms:W3CDTF">2025-11-24T09:48:00Z</dcterms:modified>
  <dc:language>pl-PL</dc:language>
</cp:coreProperties>
</file>