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2D11" w14:textId="77777777" w:rsidR="00CA7B23" w:rsidRDefault="00CA7B23" w:rsidP="00CA7B23">
      <w:pPr>
        <w:pStyle w:val="siwz-3"/>
        <w:rPr>
          <w:rFonts w:ascii="Times New Roman" w:hAnsi="Times New Roman" w:cs="Times New Roman"/>
          <w:color w:val="77206D" w:themeColor="accent5" w:themeShade="BF"/>
          <w:sz w:val="20"/>
          <w:szCs w:val="20"/>
        </w:rPr>
      </w:pPr>
      <w:bookmarkStart w:id="0" w:name="_Toc658476511"/>
    </w:p>
    <w:p w14:paraId="6B84E695" w14:textId="0B7C4FF5" w:rsidR="00CA7B23" w:rsidRPr="00614285" w:rsidRDefault="00CA7B23" w:rsidP="00CA7B23">
      <w:pPr>
        <w:pStyle w:val="siwz-3"/>
        <w:rPr>
          <w:rFonts w:ascii="Times New Roman" w:hAnsi="Times New Roman" w:cs="Times New Roman"/>
          <w:bCs/>
          <w:iCs w:val="0"/>
          <w:color w:val="77206D" w:themeColor="accent5" w:themeShade="BF"/>
          <w:sz w:val="20"/>
          <w:szCs w:val="20"/>
        </w:rPr>
      </w:pPr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2 do SWZ – wzór Oświadczenia o braku podstaw wykluczenia</w:t>
      </w:r>
      <w:bookmarkEnd w:id="0"/>
    </w:p>
    <w:p w14:paraId="648ECB7A" w14:textId="77777777" w:rsidR="00CA7B23" w:rsidRPr="00614285" w:rsidRDefault="00CA7B23" w:rsidP="00CA7B23">
      <w:pPr>
        <w:spacing w:after="60"/>
        <w:jc w:val="right"/>
        <w:rPr>
          <w:b/>
          <w:bCs/>
          <w:iCs/>
          <w:sz w:val="20"/>
          <w:szCs w:val="20"/>
        </w:rPr>
      </w:pPr>
    </w:p>
    <w:p w14:paraId="5520F025" w14:textId="77777777" w:rsidR="00CA7B23" w:rsidRPr="00614285" w:rsidRDefault="00CA7B23" w:rsidP="00CA7B23">
      <w:pPr>
        <w:rPr>
          <w:sz w:val="20"/>
          <w:szCs w:val="20"/>
        </w:rPr>
      </w:pPr>
      <w:r w:rsidRPr="00614285">
        <w:rPr>
          <w:sz w:val="20"/>
          <w:szCs w:val="20"/>
        </w:rPr>
        <w:t>Nazwa Wykonawcy: …………………………………………………………</w:t>
      </w:r>
    </w:p>
    <w:p w14:paraId="6BA999B3" w14:textId="77777777" w:rsidR="00CA7B23" w:rsidRPr="00614285" w:rsidRDefault="00CA7B23" w:rsidP="00CA7B23">
      <w:pPr>
        <w:rPr>
          <w:sz w:val="20"/>
          <w:szCs w:val="20"/>
        </w:rPr>
      </w:pPr>
    </w:p>
    <w:p w14:paraId="647A5532" w14:textId="77777777" w:rsidR="00CA7B23" w:rsidRPr="00614285" w:rsidRDefault="00CA7B23" w:rsidP="00CA7B23">
      <w:pPr>
        <w:rPr>
          <w:sz w:val="20"/>
          <w:szCs w:val="20"/>
        </w:rPr>
      </w:pPr>
      <w:r w:rsidRPr="00614285">
        <w:rPr>
          <w:sz w:val="20"/>
          <w:szCs w:val="20"/>
        </w:rPr>
        <w:t>Adres Wykonawcy: ………………………………………………………….</w:t>
      </w:r>
    </w:p>
    <w:p w14:paraId="44235207" w14:textId="77777777" w:rsidR="00CA7B23" w:rsidRPr="00614285" w:rsidRDefault="00CA7B23" w:rsidP="00CA7B23">
      <w:pPr>
        <w:rPr>
          <w:color w:val="FF0000"/>
          <w:sz w:val="20"/>
          <w:szCs w:val="20"/>
        </w:rPr>
      </w:pPr>
    </w:p>
    <w:p w14:paraId="1A0EC1D8" w14:textId="77777777" w:rsidR="00CA7B23" w:rsidRPr="00614285" w:rsidRDefault="00CA7B23" w:rsidP="00CA7B23">
      <w:pPr>
        <w:rPr>
          <w:sz w:val="20"/>
          <w:szCs w:val="20"/>
        </w:rPr>
      </w:pPr>
      <w:r w:rsidRPr="00614285">
        <w:rPr>
          <w:sz w:val="20"/>
          <w:szCs w:val="20"/>
        </w:rPr>
        <w:t xml:space="preserve">Nr NIP.........................................................……………………….……… </w:t>
      </w:r>
    </w:p>
    <w:p w14:paraId="432F3324" w14:textId="77777777" w:rsidR="00CA7B23" w:rsidRPr="00614285" w:rsidRDefault="00CA7B23" w:rsidP="00CA7B23">
      <w:pPr>
        <w:rPr>
          <w:sz w:val="20"/>
          <w:szCs w:val="20"/>
        </w:rPr>
      </w:pPr>
    </w:p>
    <w:p w14:paraId="04C9C459" w14:textId="77777777" w:rsidR="00CA7B23" w:rsidRPr="00614285" w:rsidRDefault="00CA7B23" w:rsidP="00CA7B23">
      <w:pPr>
        <w:rPr>
          <w:sz w:val="20"/>
          <w:szCs w:val="20"/>
        </w:rPr>
      </w:pPr>
      <w:r w:rsidRPr="00614285">
        <w:rPr>
          <w:sz w:val="20"/>
          <w:szCs w:val="20"/>
        </w:rPr>
        <w:t>Regon ..................................................................................……………</w:t>
      </w:r>
    </w:p>
    <w:p w14:paraId="4B7E3CC2" w14:textId="77777777" w:rsidR="00CA7B23" w:rsidRPr="00614285" w:rsidRDefault="00CA7B23" w:rsidP="00CA7B23">
      <w:pPr>
        <w:spacing w:after="60"/>
        <w:rPr>
          <w:b/>
          <w:bCs/>
          <w:iCs/>
          <w:sz w:val="20"/>
          <w:szCs w:val="20"/>
        </w:rPr>
      </w:pPr>
    </w:p>
    <w:p w14:paraId="44EDC1AF" w14:textId="77777777" w:rsidR="00CA7B23" w:rsidRPr="00614285" w:rsidRDefault="00CA7B23" w:rsidP="00CA7B23">
      <w:pPr>
        <w:spacing w:after="60"/>
        <w:jc w:val="right"/>
        <w:rPr>
          <w:b/>
          <w:bCs/>
          <w:iCs/>
          <w:sz w:val="20"/>
          <w:szCs w:val="20"/>
        </w:rPr>
      </w:pPr>
    </w:p>
    <w:p w14:paraId="702C1CEE" w14:textId="77777777" w:rsidR="00CA7B23" w:rsidRPr="00614285" w:rsidRDefault="00CA7B23" w:rsidP="00CA7B23">
      <w:pPr>
        <w:jc w:val="both"/>
        <w:rPr>
          <w:sz w:val="20"/>
          <w:szCs w:val="20"/>
        </w:rPr>
      </w:pPr>
    </w:p>
    <w:p w14:paraId="675EC5CD" w14:textId="77777777" w:rsidR="00CA7B23" w:rsidRPr="00614285" w:rsidRDefault="00CA7B23" w:rsidP="00CA7B23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Oświadczenie o braku podstaw wykluczenia</w:t>
      </w:r>
    </w:p>
    <w:p w14:paraId="39D746AE" w14:textId="77777777" w:rsidR="00CA7B23" w:rsidRPr="00614285" w:rsidRDefault="00CA7B23" w:rsidP="00CA7B23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 xml:space="preserve">uwzględniające przesłanki wynikające z art. 7 ust. 1 </w:t>
      </w:r>
      <w:proofErr w:type="spellStart"/>
      <w:r w:rsidRPr="00614285">
        <w:rPr>
          <w:b/>
          <w:sz w:val="20"/>
          <w:szCs w:val="20"/>
        </w:rPr>
        <w:t>u.sz.r.z.p.w.a.u.s.o.b.n</w:t>
      </w:r>
      <w:proofErr w:type="spellEnd"/>
      <w:r w:rsidRPr="00614285">
        <w:rPr>
          <w:b/>
          <w:sz w:val="20"/>
          <w:szCs w:val="20"/>
        </w:rPr>
        <w:t>.</w:t>
      </w:r>
    </w:p>
    <w:p w14:paraId="12BF48B2" w14:textId="77777777" w:rsidR="00CA7B23" w:rsidRPr="00614285" w:rsidRDefault="00CA7B23" w:rsidP="00CA7B23">
      <w:pPr>
        <w:jc w:val="center"/>
        <w:rPr>
          <w:b/>
          <w:sz w:val="20"/>
          <w:szCs w:val="20"/>
        </w:rPr>
      </w:pPr>
    </w:p>
    <w:p w14:paraId="4F549314" w14:textId="6046931D" w:rsidR="00CA7B23" w:rsidRPr="00614285" w:rsidRDefault="00CA7B23" w:rsidP="00CA7B23">
      <w:pPr>
        <w:jc w:val="center"/>
        <w:rPr>
          <w:b/>
          <w:sz w:val="20"/>
          <w:szCs w:val="20"/>
        </w:rPr>
      </w:pPr>
    </w:p>
    <w:p w14:paraId="7A9B4BDD" w14:textId="77777777" w:rsidR="00CA7B23" w:rsidRPr="00614285" w:rsidRDefault="00CA7B23" w:rsidP="00CA7B23">
      <w:pPr>
        <w:jc w:val="both"/>
        <w:rPr>
          <w:sz w:val="20"/>
          <w:szCs w:val="20"/>
        </w:rPr>
      </w:pPr>
    </w:p>
    <w:p w14:paraId="32BA692D" w14:textId="77777777" w:rsidR="00CA7B23" w:rsidRPr="00614285" w:rsidRDefault="00CA7B23" w:rsidP="00CA7B23">
      <w:pPr>
        <w:jc w:val="both"/>
        <w:rPr>
          <w:sz w:val="20"/>
          <w:szCs w:val="20"/>
        </w:rPr>
      </w:pPr>
    </w:p>
    <w:p w14:paraId="3461C1FC" w14:textId="77777777" w:rsidR="00CA7B23" w:rsidRPr="00614285" w:rsidRDefault="00CA7B23" w:rsidP="00CA7B23">
      <w:pPr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Przystępując do udziału w postępowaniu o zamówienie publiczne </w:t>
      </w:r>
      <w:r w:rsidRPr="00381D01">
        <w:rPr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 w:rsidRPr="00614285">
        <w:rPr>
          <w:b/>
          <w:i/>
          <w:iCs/>
          <w:sz w:val="20"/>
          <w:szCs w:val="20"/>
        </w:rPr>
        <w:t xml:space="preserve"> </w:t>
      </w:r>
      <w:r w:rsidRPr="00614285">
        <w:rPr>
          <w:sz w:val="20"/>
          <w:szCs w:val="20"/>
        </w:rPr>
        <w:t xml:space="preserve">oświadczam(-y), że na dzień złożenia niniejszego oświadczenia aktualne pozostają informacje zawarte w oświadczeniu, o którym mowa w art. 125 ust. 1 ustawy Prawo zamówień publicznych (dalej jako: ,,ustawa”), tj. nie podlegam(-y) wykluczeniu na podstawie: </w:t>
      </w:r>
    </w:p>
    <w:p w14:paraId="255BA3D6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art. 108 ust. 1 pkt. 1 ustawy,</w:t>
      </w:r>
    </w:p>
    <w:p w14:paraId="47A90090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art. 108 ust. 1 pkt. 2 ustawy,</w:t>
      </w:r>
    </w:p>
    <w:p w14:paraId="39877A84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art. 108 ust. 1 pkt 3 ustawy, </w:t>
      </w:r>
    </w:p>
    <w:p w14:paraId="1D73EA81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art. 108 ust. 1 pkt 4 ustawy dotyczących orzeczenia zakazu ubiegania się o zamówienie publiczne tytułem środka zapobiegawczego, </w:t>
      </w:r>
    </w:p>
    <w:p w14:paraId="02F81475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art. 108 ust. 1 pkt 5 ustawy dotyczących zawarcia z innymi Wykonawcami porozumienia mającego na celu zakłócenie konkurencji, </w:t>
      </w:r>
    </w:p>
    <w:p w14:paraId="02358BD3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art. 108 ust. 1 pkt 6 ustawy,</w:t>
      </w:r>
    </w:p>
    <w:p w14:paraId="5B41BD6C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art. 109 ust. 1 pkt 5 ustawy,</w:t>
      </w:r>
    </w:p>
    <w:p w14:paraId="040CC9AD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art. 109 ust. 1 pkt 8 ustawy,</w:t>
      </w:r>
    </w:p>
    <w:p w14:paraId="79A19DD4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r w:rsidRPr="00614285">
        <w:rPr>
          <w:sz w:val="20"/>
          <w:szCs w:val="20"/>
        </w:rPr>
        <w:t>art. 109 ust. 1 pkt 10 ustawy,</w:t>
      </w:r>
    </w:p>
    <w:p w14:paraId="4830BFC2" w14:textId="77777777" w:rsidR="00CA7B23" w:rsidRPr="00614285" w:rsidRDefault="00CA7B23" w:rsidP="00CA7B23">
      <w:pPr>
        <w:pStyle w:val="Akapitzlist"/>
        <w:numPr>
          <w:ilvl w:val="0"/>
          <w:numId w:val="1"/>
        </w:numPr>
        <w:spacing w:after="167"/>
        <w:jc w:val="both"/>
        <w:rPr>
          <w:sz w:val="20"/>
          <w:szCs w:val="20"/>
        </w:rPr>
      </w:pPr>
      <w:bookmarkStart w:id="1" w:name="_Toc65847649"/>
      <w:r w:rsidRPr="00614285">
        <w:rPr>
          <w:bCs/>
          <w:sz w:val="20"/>
          <w:szCs w:val="20"/>
        </w:rPr>
        <w:t xml:space="preserve">art. 7 ust. 1 </w:t>
      </w:r>
      <w:proofErr w:type="spellStart"/>
      <w:r w:rsidRPr="00614285">
        <w:rPr>
          <w:bCs/>
          <w:sz w:val="20"/>
          <w:szCs w:val="20"/>
        </w:rPr>
        <w:t>u.sz.r.z.p.w.a.u.s.o.b.n</w:t>
      </w:r>
      <w:proofErr w:type="spellEnd"/>
      <w:r w:rsidRPr="00614285">
        <w:rPr>
          <w:bCs/>
          <w:sz w:val="20"/>
          <w:szCs w:val="20"/>
        </w:rPr>
        <w:t>.</w:t>
      </w:r>
      <w:bookmarkEnd w:id="1"/>
    </w:p>
    <w:p w14:paraId="11394521" w14:textId="77777777" w:rsidR="00CA7B23" w:rsidRPr="00614285" w:rsidRDefault="00CA7B23" w:rsidP="00CA7B23">
      <w:pPr>
        <w:pStyle w:val="Akapitzlist"/>
        <w:spacing w:after="167"/>
        <w:jc w:val="both"/>
        <w:rPr>
          <w:sz w:val="20"/>
          <w:szCs w:val="20"/>
        </w:rPr>
      </w:pPr>
    </w:p>
    <w:p w14:paraId="5D1DB9AF" w14:textId="77777777" w:rsidR="00CA7B23" w:rsidRPr="00614285" w:rsidRDefault="00CA7B23" w:rsidP="00CA7B23">
      <w:pPr>
        <w:pStyle w:val="Akapitzlist"/>
        <w:spacing w:after="167"/>
        <w:jc w:val="both"/>
        <w:rPr>
          <w:sz w:val="20"/>
          <w:szCs w:val="20"/>
        </w:rPr>
      </w:pPr>
    </w:p>
    <w:p w14:paraId="58695F57" w14:textId="77777777" w:rsidR="00CA7B23" w:rsidRPr="00614285" w:rsidRDefault="00CA7B23" w:rsidP="00CA7B23">
      <w:pPr>
        <w:pStyle w:val="Akapitzlist"/>
        <w:spacing w:after="167"/>
        <w:jc w:val="both"/>
        <w:rPr>
          <w:sz w:val="20"/>
          <w:szCs w:val="20"/>
        </w:rPr>
      </w:pPr>
    </w:p>
    <w:p w14:paraId="54A08E7B" w14:textId="77777777" w:rsidR="008B38CE" w:rsidRDefault="008B38CE"/>
    <w:sectPr w:rsidR="008B3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5595" w14:textId="77777777" w:rsidR="00282F6B" w:rsidRDefault="00282F6B" w:rsidP="00282F6B">
      <w:r>
        <w:separator/>
      </w:r>
    </w:p>
  </w:endnote>
  <w:endnote w:type="continuationSeparator" w:id="0">
    <w:p w14:paraId="560FFBF9" w14:textId="77777777" w:rsidR="00282F6B" w:rsidRDefault="00282F6B" w:rsidP="002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F35C" w14:textId="77777777" w:rsidR="00282F6B" w:rsidRDefault="00282F6B" w:rsidP="00282F6B">
      <w:r>
        <w:separator/>
      </w:r>
    </w:p>
  </w:footnote>
  <w:footnote w:type="continuationSeparator" w:id="0">
    <w:p w14:paraId="2F1938A4" w14:textId="77777777" w:rsidR="00282F6B" w:rsidRDefault="00282F6B" w:rsidP="0028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99F2" w14:textId="784D8A71" w:rsidR="00A65896" w:rsidRDefault="00A65896">
    <w:pPr>
      <w:pStyle w:val="Nagwek"/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614285">
      <w:rPr>
        <w:b/>
        <w:sz w:val="20"/>
        <w:szCs w:val="20"/>
      </w:rPr>
      <w:t>BOR07.2616.</w:t>
    </w:r>
    <w:r>
      <w:rPr>
        <w:b/>
        <w:sz w:val="20"/>
        <w:szCs w:val="20"/>
      </w:rPr>
      <w:t>2</w:t>
    </w:r>
    <w:r w:rsidRPr="00614285">
      <w:rPr>
        <w:b/>
        <w:sz w:val="20"/>
        <w:szCs w:val="20"/>
      </w:rPr>
      <w:t>.202</w:t>
    </w:r>
    <w:r>
      <w:rPr>
        <w:b/>
        <w:sz w:val="20"/>
        <w:szCs w:val="20"/>
      </w:rPr>
      <w:t>4</w:t>
    </w:r>
    <w:r w:rsidRPr="00614285">
      <w:rPr>
        <w:b/>
        <w:sz w:val="20"/>
        <w:szCs w:val="20"/>
      </w:rPr>
      <w:t>.</w:t>
    </w:r>
    <w:r>
      <w:rPr>
        <w:b/>
        <w:sz w:val="20"/>
        <w:szCs w:val="20"/>
      </w:rPr>
      <w:t>KK</w:t>
    </w:r>
  </w:p>
  <w:p w14:paraId="2DB04373" w14:textId="77777777" w:rsidR="00282F6B" w:rsidRDefault="00282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5285"/>
    <w:multiLevelType w:val="multilevel"/>
    <w:tmpl w:val="DE9EF5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1059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8"/>
    <w:rsid w:val="000962DD"/>
    <w:rsid w:val="00282F6B"/>
    <w:rsid w:val="00860678"/>
    <w:rsid w:val="008B38CE"/>
    <w:rsid w:val="00A21A5A"/>
    <w:rsid w:val="00A65896"/>
    <w:rsid w:val="00C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1AFE"/>
  <w15:chartTrackingRefBased/>
  <w15:docId w15:val="{DE9FD938-87E4-4B4C-BDD4-9DD532C2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B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6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6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6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6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6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6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6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6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6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6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6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678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8606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6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6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67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CA7B23"/>
  </w:style>
  <w:style w:type="character" w:customStyle="1" w:styleId="siwz-3Znak">
    <w:name w:val="siwz-3 Znak"/>
    <w:basedOn w:val="Domylnaczcionkaakapitu"/>
    <w:link w:val="siwz-3"/>
    <w:qFormat/>
    <w:rsid w:val="00CA7B23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siwz-3">
    <w:name w:val="siwz-3"/>
    <w:basedOn w:val="Nagwek3"/>
    <w:link w:val="siwz-3Znak"/>
    <w:qFormat/>
    <w:rsid w:val="00CA7B23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2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F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2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F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4</cp:revision>
  <dcterms:created xsi:type="dcterms:W3CDTF">2024-09-10T09:15:00Z</dcterms:created>
  <dcterms:modified xsi:type="dcterms:W3CDTF">2024-09-10T09:17:00Z</dcterms:modified>
</cp:coreProperties>
</file>