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3F0C378D" w:rsidR="000B4497" w:rsidRPr="00D114D7" w:rsidRDefault="006F24D7" w:rsidP="006F24D7">
      <w:pPr>
        <w:tabs>
          <w:tab w:val="left" w:pos="2625"/>
          <w:tab w:val="right" w:pos="9072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5A01C4"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552B9FC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F91273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F91273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2F465229" w14:textId="77777777" w:rsidR="00435839" w:rsidRDefault="00435839" w:rsidP="00435839">
      <w:pPr>
        <w:jc w:val="center"/>
        <w:rPr>
          <w:rFonts w:ascii="Arial" w:hAnsi="Arial" w:cs="Arial"/>
          <w:b/>
          <w:szCs w:val="24"/>
          <w:shd w:val="clear" w:color="auto" w:fill="FFFFFF"/>
        </w:rPr>
      </w:pPr>
    </w:p>
    <w:p w14:paraId="5F87D269" w14:textId="4265A298" w:rsidR="00435839" w:rsidRDefault="00435839" w:rsidP="00435839">
      <w:pPr>
        <w:jc w:val="center"/>
        <w:rPr>
          <w:rFonts w:ascii="Arial" w:hAnsi="Arial" w:cs="Arial"/>
          <w:b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Wykonanie remontu 12 </w:t>
      </w:r>
      <w:r w:rsidR="00D263F6">
        <w:rPr>
          <w:rFonts w:ascii="Arial" w:hAnsi="Arial" w:cs="Arial"/>
          <w:b/>
          <w:szCs w:val="24"/>
          <w:shd w:val="clear" w:color="auto" w:fill="FFFFFF"/>
        </w:rPr>
        <w:t xml:space="preserve">mieszkalnych </w:t>
      </w:r>
      <w:r>
        <w:rPr>
          <w:rFonts w:ascii="Arial" w:hAnsi="Arial" w:cs="Arial"/>
          <w:b/>
          <w:szCs w:val="24"/>
          <w:shd w:val="clear" w:color="auto" w:fill="FFFFFF"/>
        </w:rPr>
        <w:t>lokali komunalnych w Szczecinie</w:t>
      </w:r>
    </w:p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558D5434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435839">
      <w:rPr>
        <w:rFonts w:ascii="Calibri" w:hAnsi="Calibri" w:cs="Calibri"/>
        <w:sz w:val="22"/>
        <w:szCs w:val="22"/>
      </w:rPr>
      <w:t>AM</w:t>
    </w:r>
    <w:r w:rsidRPr="004D2EA3">
      <w:rPr>
        <w:rFonts w:ascii="Calibri" w:hAnsi="Calibri" w:cs="Calibri"/>
        <w:sz w:val="22"/>
        <w:szCs w:val="22"/>
      </w:rPr>
      <w:t>.171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="003839DC">
      <w:rPr>
        <w:rFonts w:ascii="Calibri" w:hAnsi="Calibri" w:cs="Calibri"/>
        <w:color w:val="000000" w:themeColor="text1"/>
        <w:sz w:val="22"/>
        <w:szCs w:val="22"/>
      </w:rPr>
      <w:t>10</w:t>
    </w:r>
    <w:r w:rsidR="00435839">
      <w:rPr>
        <w:rFonts w:ascii="Calibri" w:hAnsi="Calibri" w:cs="Calibri"/>
        <w:color w:val="000000" w:themeColor="text1"/>
        <w:sz w:val="22"/>
        <w:szCs w:val="22"/>
      </w:rPr>
      <w:t>6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39DC"/>
    <w:rsid w:val="003A7E3D"/>
    <w:rsid w:val="003B671E"/>
    <w:rsid w:val="003E58CC"/>
    <w:rsid w:val="003F1C8B"/>
    <w:rsid w:val="003F5C88"/>
    <w:rsid w:val="004208DE"/>
    <w:rsid w:val="00424DAA"/>
    <w:rsid w:val="00435839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42E16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6F24D7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11BDB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5458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263F6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9127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29</cp:revision>
  <cp:lastPrinted>2023-07-05T12:07:00Z</cp:lastPrinted>
  <dcterms:created xsi:type="dcterms:W3CDTF">2022-03-23T08:20:00Z</dcterms:created>
  <dcterms:modified xsi:type="dcterms:W3CDTF">2024-12-23T10:07:00Z</dcterms:modified>
</cp:coreProperties>
</file>