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AD6803">
      <w:pPr>
        <w:spacing w:line="276" w:lineRule="auto"/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AD6803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AD6803">
      <w:pPr>
        <w:pStyle w:val="Tekstpodstawowy21"/>
        <w:spacing w:line="276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41D88009" w14:textId="77777777" w:rsidR="003E0A79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86069025"/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29B4A433" w14:textId="3ABA026A" w:rsidR="00E33276" w:rsidRPr="002C1D01" w:rsidRDefault="002C0711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dla budynku Błażkowa 20</w:t>
      </w:r>
      <w:bookmarkEnd w:id="0"/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AD68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741D5F80" w14:textId="77777777" w:rsidR="002C0711" w:rsidRPr="00AD6803" w:rsidRDefault="002C0711" w:rsidP="00AD6803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AD6803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t.j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. Dz. U. 2021 r, poz. 1129 z 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późń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3EBB336A" w14:textId="77777777" w:rsidR="0023025A" w:rsidRPr="00AD6803" w:rsidRDefault="0023025A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EB05123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2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przedmiotu zamówienia:</w:t>
      </w:r>
    </w:p>
    <w:p w14:paraId="3D256735" w14:textId="625C5EE4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dokumentacji projektowo-kosztorysowej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remontu/przebudowy/wzmocnienia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więźb</w:t>
      </w:r>
      <w:r w:rsidR="00AD680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y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dachowej i </w:t>
      </w:r>
      <w:r w:rsidR="00AD6803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stropu nad salą świetlicy wiejskiej  i </w:t>
      </w:r>
      <w:r w:rsidR="002C0711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wymiany pokrycia dachowego budynku mieszkalnego wielorodzinnego położonego w Błażkowej, nr 20</w:t>
      </w:r>
      <w:bookmarkEnd w:id="1"/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8517675" w14:textId="06B098B5" w:rsidR="002C0711" w:rsidRPr="00AD6803" w:rsidRDefault="002C0711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5085B787" w14:textId="06690EEF" w:rsidR="002C0711" w:rsidRPr="00AD6803" w:rsidRDefault="002C0711" w:rsidP="00AD6803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bookmarkStart w:id="2" w:name="_Hlk86069277"/>
      <w:bookmarkStart w:id="3" w:name="_Hlk86069242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sporządzenie ekspertyzy stanu technicznego więźby dachowej i stropu nad salą świetlicy wiejskiej wraz ze wskazaniem przyczyn powstania nadmiernego ugięcia więźby,</w:t>
      </w:r>
    </w:p>
    <w:p w14:paraId="0E506E3E" w14:textId="635F00A4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projektu budowlanego remontu/przebudowy/wzmocnienia więźby i stropu </w:t>
      </w:r>
      <w:proofErr w:type="spellStart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j.w</w:t>
      </w:r>
      <w:proofErr w:type="spellEnd"/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  <w:r w:rsidR="002C0711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wraz z projektem wymiany pokrycia dachowego na całym budynku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0146068F" w14:textId="4D4818B6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2"/>
    <w:p w14:paraId="67062B11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AF0BE8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068B03A" w14:textId="77777777" w:rsidR="00AD6803" w:rsidRPr="00AD6803" w:rsidRDefault="00AD6803" w:rsidP="00AD6803">
      <w:pPr>
        <w:pStyle w:val="Akapitzlist"/>
        <w:widowControl w:val="0"/>
        <w:numPr>
          <w:ilvl w:val="0"/>
          <w:numId w:val="1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3"/>
    <w:p w14:paraId="5EF53EA2" w14:textId="6A66E44E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5C3EFF0D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CB7268" w14:textId="77777777" w:rsidR="0045266A" w:rsidRPr="00AD6803" w:rsidRDefault="0045266A" w:rsidP="00AD6803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przypadku, gdy zażąda tego organ administracji architektoniczno-budowlanej.</w:t>
      </w:r>
    </w:p>
    <w:p w14:paraId="00D02CC9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49EEAFB6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64D7C72F" w14:textId="77777777" w:rsidR="0045266A" w:rsidRPr="00AD6803" w:rsidRDefault="0045266A" w:rsidP="00AD680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45014FC2" w14:textId="77777777" w:rsidR="00A86D4C" w:rsidRPr="00AD6803" w:rsidRDefault="00A86D4C" w:rsidP="00AD6803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E5D9EB7" w14:textId="77777777" w:rsidR="00F772BF" w:rsidRPr="00AD6803" w:rsidRDefault="00756EA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3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Termin i miejsce wykonania zamówien</w:t>
      </w:r>
      <w:r w:rsidR="00F772BF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ia:</w:t>
      </w:r>
    </w:p>
    <w:p w14:paraId="489EB922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C31215A" w14:textId="7A482A15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AD6803"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31.01.2022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3D91E8F" w14:textId="77777777" w:rsidR="00FA4BE1" w:rsidRPr="00AD6803" w:rsidRDefault="00FA4BE1" w:rsidP="00AD6803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odbiorowymi, jednak nie dłużej niż 36 miesięcy od rozpoczęcia Zamówienia.</w:t>
      </w:r>
    </w:p>
    <w:p w14:paraId="4B763BE0" w14:textId="77777777" w:rsidR="00FA4BE1" w:rsidRPr="00AD6803" w:rsidRDefault="00FA4BE1" w:rsidP="00AD68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11E3D7BF" w14:textId="77777777" w:rsidR="00E528BF" w:rsidRPr="00AD6803" w:rsidRDefault="00E528BF" w:rsidP="00AD680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6CD865EB" w14:textId="77777777" w:rsidR="00A946DC" w:rsidRPr="00AD6803" w:rsidRDefault="0023025A" w:rsidP="00AD680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4</w:t>
      </w:r>
      <w:r w:rsidR="00A573CB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 xml:space="preserve">. </w:t>
      </w:r>
      <w:r w:rsidR="00A946DC" w:rsidRPr="00AD6803">
        <w:rPr>
          <w:rFonts w:ascii="Cambria" w:hAnsi="Cambria"/>
          <w:b/>
          <w:snapToGrid w:val="0"/>
          <w:color w:val="000000" w:themeColor="text1"/>
          <w:sz w:val="22"/>
          <w:szCs w:val="22"/>
          <w:u w:val="single"/>
        </w:rPr>
        <w:t>Opis kryteriów, którymi Zamawiający będzie się kierował przy wyborze ofert, wraz z podaniem znaczenia tych kryteriów i sposobu oceny ofert:</w:t>
      </w:r>
    </w:p>
    <w:p w14:paraId="44CAD6AA" w14:textId="77777777" w:rsidR="00A946DC" w:rsidRPr="00AD6803" w:rsidRDefault="00A946DC" w:rsidP="00AD680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Przy ocenie i wyborze najkorzystniejszej oferty Zamawiający weźmie pod uwagę jedynie cenę</w:t>
      </w:r>
      <w:r w:rsidR="00151D13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brutto</w:t>
      </w:r>
      <w:r w:rsidR="0095247C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  <w:r w:rsidR="00F70085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="007C7D3E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Wybór oferty najkorzystniejszej nastąpi odrębnie dla każdego z wymienionych Zadań.</w:t>
      </w:r>
    </w:p>
    <w:p w14:paraId="349A1FFC" w14:textId="77777777" w:rsidR="00707DC2" w:rsidRPr="00AD6803" w:rsidRDefault="00707DC2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samej cenie,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amawiający </w:t>
      </w:r>
      <w:r w:rsidR="00AB0D43" w:rsidRPr="00AD6803">
        <w:rPr>
          <w:rFonts w:ascii="Cambria" w:hAnsi="Cambria"/>
          <w:color w:val="000000" w:themeColor="text1"/>
          <w:sz w:val="22"/>
          <w:szCs w:val="22"/>
        </w:rPr>
        <w:t>wezwie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 xml:space="preserve"> W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ykonawców, którzy złożyli te oferty, do złożenia w terminie określonym przez </w:t>
      </w:r>
      <w:r w:rsidR="00FC368F" w:rsidRPr="00AD6803">
        <w:rPr>
          <w:rFonts w:ascii="Cambria" w:hAnsi="Cambria"/>
          <w:color w:val="000000" w:themeColor="text1"/>
          <w:sz w:val="22"/>
          <w:szCs w:val="22"/>
        </w:rPr>
        <w:t>Z</w:t>
      </w:r>
      <w:r w:rsidRPr="00AD6803">
        <w:rPr>
          <w:rFonts w:ascii="Cambria" w:hAnsi="Cambria"/>
          <w:color w:val="000000" w:themeColor="text1"/>
          <w:sz w:val="22"/>
          <w:szCs w:val="22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dokona oceny złożonych ofert zgodnie z przyjętym kryterium.</w:t>
      </w:r>
    </w:p>
    <w:p w14:paraId="34C0BE03" w14:textId="77777777" w:rsidR="00151D13" w:rsidRPr="00AD6803" w:rsidRDefault="00817D9F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W toku dokonywania oceny złożonych ofert Zamawiający może żądać</w:t>
      </w:r>
      <w:r w:rsidR="00151D13" w:rsidRPr="00AD6803">
        <w:rPr>
          <w:rFonts w:ascii="Cambria" w:hAnsi="Cambria"/>
          <w:color w:val="000000" w:themeColor="text1"/>
          <w:sz w:val="22"/>
          <w:szCs w:val="22"/>
        </w:rPr>
        <w:t xml:space="preserve"> udzielenia przez Wykonawców dotyczących wyjaśnień tr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eści złożonych przez nich ofert.</w:t>
      </w:r>
    </w:p>
    <w:p w14:paraId="61464285" w14:textId="77777777" w:rsidR="002B4197" w:rsidRPr="00AD6803" w:rsidRDefault="00151D13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</w:t>
      </w:r>
      <w:r w:rsidR="009E0E04" w:rsidRPr="00AD6803">
        <w:rPr>
          <w:rFonts w:ascii="Cambria" w:hAnsi="Cambria"/>
          <w:color w:val="000000" w:themeColor="text1"/>
          <w:sz w:val="22"/>
          <w:szCs w:val="22"/>
        </w:rPr>
        <w:t>erdzających spełnienie warunków.</w:t>
      </w:r>
    </w:p>
    <w:p w14:paraId="5F72C274" w14:textId="77777777" w:rsidR="002B4197" w:rsidRPr="00AD6803" w:rsidRDefault="002B4197" w:rsidP="00AD6803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>Wykonawcą, którego oferta jest najkorzystniejsza.</w:t>
      </w:r>
    </w:p>
    <w:p w14:paraId="509AC9AF" w14:textId="77777777" w:rsidR="002B4197" w:rsidRPr="00AD6803" w:rsidRDefault="002B4197" w:rsidP="00AD6803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Zamawiający zastrzega sobie prawo do podjęcia negocjacji</w:t>
      </w:r>
      <w:r w:rsidRPr="00AD6803">
        <w:rPr>
          <w:rStyle w:val="FontStyle22"/>
          <w:rFonts w:ascii="Cambria" w:hAnsi="Cambria" w:cs="Arial"/>
          <w:color w:val="000000" w:themeColor="text1"/>
          <w:sz w:val="22"/>
          <w:szCs w:val="22"/>
        </w:rPr>
        <w:t xml:space="preserve"> w przypadku, 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5D382DD7" w14:textId="77777777" w:rsidR="005277B1" w:rsidRPr="00AD6803" w:rsidRDefault="005277B1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F438731" w14:textId="77777777" w:rsidR="0026734D" w:rsidRPr="00AD6803" w:rsidRDefault="0023025A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5</w:t>
      </w:r>
      <w:r w:rsidR="0026734D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. Opis warunków udziału w postępowaniu oraz dokumenty wymagane w ofercie:</w:t>
      </w:r>
    </w:p>
    <w:p w14:paraId="56EF6AE1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39E421E4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7FF4EDBC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72513131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2FD91438" w14:textId="77777777" w:rsidR="00AD6803" w:rsidRPr="00AD6803" w:rsidRDefault="00AD6803" w:rsidP="00AD6803">
      <w:pPr>
        <w:pStyle w:val="Akapitzlist"/>
        <w:numPr>
          <w:ilvl w:val="0"/>
          <w:numId w:val="17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5E98614" w14:textId="77777777" w:rsidR="00AD6803" w:rsidRPr="00AD6803" w:rsidRDefault="00AD6803" w:rsidP="00AD6803">
      <w:pPr>
        <w:pStyle w:val="Akapitzlist"/>
        <w:numPr>
          <w:ilvl w:val="3"/>
          <w:numId w:val="16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564FBE50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4C44EF8F" w14:textId="77777777" w:rsidR="00FB394C" w:rsidRPr="00AD6803" w:rsidRDefault="00FB394C" w:rsidP="00AD680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49DE3BD9" w14:textId="77777777" w:rsidR="007C7D3E" w:rsidRPr="00AD6803" w:rsidRDefault="007C7D3E" w:rsidP="00AD6803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59CEEB2" w14:textId="77777777" w:rsidR="00E0613E" w:rsidRPr="00615784" w:rsidRDefault="00E0613E" w:rsidP="00E0613E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307E051F" w14:textId="77777777" w:rsidR="00E0613E" w:rsidRPr="00615784" w:rsidRDefault="00E0613E" w:rsidP="00E0613E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6D9743A9" w14:textId="77777777" w:rsidR="00E0613E" w:rsidRPr="00615784" w:rsidRDefault="00B703BA" w:rsidP="00E0613E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1" w:history="1">
        <w:r w:rsidR="00E0613E" w:rsidRPr="00615784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5F0B9C95" w14:textId="2DD56133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r w:rsidR="00B703BA" w:rsidRPr="00B703BA">
        <w:rPr>
          <w:rFonts w:asciiTheme="majorHAnsi" w:hAnsiTheme="majorHAnsi"/>
          <w:b/>
          <w:bCs/>
          <w:color w:val="000000" w:themeColor="text1"/>
          <w:sz w:val="22"/>
          <w:szCs w:val="22"/>
        </w:rPr>
        <w:t>15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.11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>.2021 r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615784">
        <w:rPr>
          <w:rFonts w:asciiTheme="majorHAnsi" w:hAnsiTheme="majorHAnsi"/>
          <w:b/>
          <w:color w:val="000000" w:themeColor="text1"/>
          <w:sz w:val="22"/>
          <w:szCs w:val="22"/>
        </w:rPr>
        <w:t>do godziny 9:00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B82F970" w14:textId="77777777" w:rsidR="00E0613E" w:rsidRPr="00615784" w:rsidRDefault="00E0613E" w:rsidP="00E0613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AA81A73" w14:textId="77777777" w:rsidR="00E0613E" w:rsidRPr="00615784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</w:t>
      </w:r>
      <w:proofErr w:type="spellStart"/>
      <w:r w:rsidRPr="00615784">
        <w:rPr>
          <w:rFonts w:asciiTheme="majorHAnsi" w:hAnsiTheme="majorHAnsi"/>
          <w:color w:val="000000" w:themeColor="text1"/>
          <w:sz w:val="22"/>
          <w:szCs w:val="22"/>
        </w:rPr>
        <w:t>Kosal</w:t>
      </w:r>
      <w:proofErr w:type="spellEnd"/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, tel. 517 298 167 wew. 27, pokój nr 1 (parter), siedziba Zakładu Gospodarki Miejskiej w Lubawce, ul. Zielona 12, e-mail: </w:t>
      </w:r>
      <w:hyperlink r:id="rId12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2E0B82AC" w14:textId="77777777" w:rsidR="00E0613E" w:rsidRPr="001F79DC" w:rsidRDefault="00E0613E" w:rsidP="00E0613E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Guguł</w:t>
      </w:r>
      <w:proofErr w:type="spellEnd"/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615784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3" w:history="1">
        <w:r w:rsidRPr="00615784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7FBF0B3E" w14:textId="77777777" w:rsidR="00DD416C" w:rsidRPr="00AD6803" w:rsidRDefault="00DD416C" w:rsidP="00AD6803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F1F4262" w14:textId="77777777" w:rsidR="00063BE7" w:rsidRPr="00AD6803" w:rsidRDefault="00143B62" w:rsidP="00AD6803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8. </w:t>
      </w:r>
      <w:r w:rsidR="00063BE7" w:rsidRPr="00AD6803">
        <w:rPr>
          <w:rFonts w:ascii="Cambria" w:hAnsi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4D4282FE" w14:textId="77777777" w:rsidR="00063BE7" w:rsidRPr="00AD6803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 xml:space="preserve">Wykonawca powinien dysponować odpowiednimi środkami do prawidłowego </w:t>
      </w:r>
      <w:r w:rsidR="005D286D" w:rsidRPr="00AD6803">
        <w:rPr>
          <w:rFonts w:ascii="Cambria" w:hAnsi="Cambria"/>
          <w:color w:val="000000" w:themeColor="text1"/>
          <w:sz w:val="22"/>
          <w:szCs w:val="22"/>
        </w:rPr>
        <w:t>wykonania przedmiotu zamówienia.</w:t>
      </w:r>
    </w:p>
    <w:p w14:paraId="0BA81881" w14:textId="77777777" w:rsidR="00063BE7" w:rsidRPr="00AD6803" w:rsidRDefault="00063BE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</w:rPr>
        <w:t>Zamawiający zastrzega sobie prawo do zamknięcia postępowania – nierozstrzygnięci</w:t>
      </w:r>
      <w:r w:rsidR="0047762A" w:rsidRPr="00AD6803">
        <w:rPr>
          <w:rFonts w:ascii="Cambria" w:hAnsi="Cambria"/>
          <w:color w:val="000000" w:themeColor="text1"/>
          <w:sz w:val="22"/>
          <w:szCs w:val="22"/>
        </w:rPr>
        <w:t>a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, bez podania przyczyn. </w:t>
      </w:r>
    </w:p>
    <w:p w14:paraId="5D833397" w14:textId="77777777" w:rsidR="00D44F77" w:rsidRPr="00AD6803" w:rsidRDefault="00D44F77" w:rsidP="00AD6803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  <w:u w:val="single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AD6803" w:rsidRDefault="00ED3601" w:rsidP="00AD6803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Wykonawca będzie związany złożoną ofertą przez okres </w:t>
      </w:r>
      <w:r w:rsidR="009E6EE9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0 dni. Bieg terminu związania ofertą rozpoczyna się wraz z upływem terminu składania ofert.</w:t>
      </w:r>
    </w:p>
    <w:p w14:paraId="325E73E7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C914473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1BFBE052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28D97D09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3A9E948B" w14:textId="77777777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78BA03E6" w14:textId="63C4CC22" w:rsidR="00E0613E" w:rsidRPr="00615784" w:rsidRDefault="00E0613E" w:rsidP="00E0613E">
      <w:pPr>
        <w:widowControl w:val="0"/>
        <w:numPr>
          <w:ilvl w:val="0"/>
          <w:numId w:val="1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inwentaryzacja budynku</w:t>
      </w:r>
    </w:p>
    <w:p w14:paraId="133483AC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60AC0D5D" w14:textId="77777777" w:rsidR="00E0613E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Lubawka, dnia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25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10</w:t>
      </w:r>
      <w:r w:rsidRPr="00615784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.2021 r</w:t>
      </w:r>
    </w:p>
    <w:p w14:paraId="4389853F" w14:textId="77777777" w:rsidR="00E0613E" w:rsidRPr="00615784" w:rsidRDefault="00E0613E" w:rsidP="00E0613E">
      <w:pPr>
        <w:widowControl w:val="0"/>
        <w:spacing w:line="276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613E" w:rsidRPr="00615784" w14:paraId="2F590F47" w14:textId="77777777" w:rsidTr="00F1749B">
        <w:tc>
          <w:tcPr>
            <w:tcW w:w="4889" w:type="dxa"/>
          </w:tcPr>
          <w:p w14:paraId="0DC9A146" w14:textId="77777777" w:rsidR="00E0613E" w:rsidRPr="00615784" w:rsidRDefault="00E0613E" w:rsidP="00F1749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B3CB6A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3338BFD3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2323C53D" w14:textId="77777777" w:rsidR="00E0613E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5288DB" w14:textId="77777777" w:rsidR="00E0613E" w:rsidRPr="00615784" w:rsidRDefault="00E0613E" w:rsidP="00F1749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84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5720614E" w14:textId="77777777" w:rsidR="000D5232" w:rsidRPr="002C1D01" w:rsidRDefault="000D5232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1041C59B" w14:textId="77777777" w:rsidR="00B66551" w:rsidRPr="002C1D01" w:rsidRDefault="00B66551" w:rsidP="00146AE9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B7DAE"/>
    <w:rsid w:val="009C6D72"/>
    <w:rsid w:val="009D658F"/>
    <w:rsid w:val="009E0E04"/>
    <w:rsid w:val="009E38F6"/>
    <w:rsid w:val="009E6EE9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803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03BA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D6C97"/>
    <w:rsid w:val="00DE1C0F"/>
    <w:rsid w:val="00DE2E54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7136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135</cp:revision>
  <cp:lastPrinted>2019-02-14T08:39:00Z</cp:lastPrinted>
  <dcterms:created xsi:type="dcterms:W3CDTF">2019-02-11T19:01:00Z</dcterms:created>
  <dcterms:modified xsi:type="dcterms:W3CDTF">2021-10-26T08:46:00Z</dcterms:modified>
</cp:coreProperties>
</file>