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6608EFF8" w:rsidR="00C216DE" w:rsidRPr="00AB41D1" w:rsidRDefault="00C216DE" w:rsidP="00AB41D1">
      <w:pPr>
        <w:pStyle w:val="right"/>
        <w:spacing w:line="276" w:lineRule="auto"/>
        <w:rPr>
          <w:rFonts w:ascii="Nunito Sans" w:hAnsi="Nunito Sans" w:cs="Arial"/>
        </w:rPr>
      </w:pPr>
      <w:r w:rsidRPr="00AB41D1">
        <w:rPr>
          <w:rFonts w:ascii="Nunito Sans" w:hAnsi="Nunito Sans" w:cs="Arial"/>
        </w:rPr>
        <w:t xml:space="preserve">Poznań, dnia </w:t>
      </w:r>
      <w:r w:rsidR="00A0587E" w:rsidRPr="00AB41D1">
        <w:rPr>
          <w:rFonts w:ascii="Nunito Sans" w:hAnsi="Nunito Sans" w:cs="Arial"/>
        </w:rPr>
        <w:t>28</w:t>
      </w:r>
      <w:r w:rsidR="00534F73" w:rsidRPr="00AB41D1">
        <w:rPr>
          <w:rFonts w:ascii="Nunito Sans" w:hAnsi="Nunito Sans" w:cs="Arial"/>
        </w:rPr>
        <w:t xml:space="preserve"> lutego 202</w:t>
      </w:r>
      <w:r w:rsidR="007B2417" w:rsidRPr="00AB41D1">
        <w:rPr>
          <w:rFonts w:ascii="Nunito Sans" w:hAnsi="Nunito Sans" w:cs="Arial"/>
        </w:rPr>
        <w:t>4</w:t>
      </w:r>
      <w:r w:rsidRPr="00AB41D1">
        <w:rPr>
          <w:rFonts w:ascii="Nunito Sans" w:hAnsi="Nunito Sans" w:cs="Arial"/>
        </w:rPr>
        <w:t xml:space="preserve"> roku</w:t>
      </w:r>
    </w:p>
    <w:p w14:paraId="79DCB413" w14:textId="77777777" w:rsidR="00C216DE" w:rsidRPr="00AB41D1" w:rsidRDefault="00C216DE" w:rsidP="00AB41D1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AB41D1" w:rsidRDefault="00C216DE" w:rsidP="00AB41D1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F8C8C85" w14:textId="77777777" w:rsidR="00C216DE" w:rsidRPr="00AB41D1" w:rsidRDefault="00C216DE" w:rsidP="00AB41D1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>Poznański Ośrodek Specjalistycznych Usług Medycznych</w:t>
      </w:r>
    </w:p>
    <w:p w14:paraId="60A88473" w14:textId="77777777" w:rsidR="00C216DE" w:rsidRPr="00AB41D1" w:rsidRDefault="00C216DE" w:rsidP="00AB41D1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43C4F5E2" w14:textId="2FB01833" w:rsidR="00C216DE" w:rsidRPr="00AB41D1" w:rsidRDefault="00C216DE" w:rsidP="00AB41D1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AB41D1">
        <w:rPr>
          <w:rStyle w:val="bold"/>
          <w:rFonts w:ascii="Nunito Sans" w:hAnsi="Nunito Sans" w:cs="Arial"/>
        </w:rPr>
        <w:t xml:space="preserve">Znak sprawy: </w:t>
      </w:r>
      <w:r w:rsidR="003D25E4" w:rsidRPr="00AB41D1">
        <w:rPr>
          <w:rFonts w:ascii="Nunito Sans" w:eastAsia="Times New Roman" w:hAnsi="Nunito Sans" w:cs="Arial"/>
          <w:b/>
        </w:rPr>
        <w:t>DA.272.</w:t>
      </w:r>
      <w:r w:rsidR="00A0587E" w:rsidRPr="00AB41D1">
        <w:rPr>
          <w:rFonts w:ascii="Nunito Sans" w:eastAsia="Times New Roman" w:hAnsi="Nunito Sans" w:cs="Arial"/>
          <w:b/>
        </w:rPr>
        <w:t>4</w:t>
      </w:r>
      <w:r w:rsidR="003D25E4" w:rsidRPr="00AB41D1">
        <w:rPr>
          <w:rFonts w:ascii="Nunito Sans" w:eastAsia="Times New Roman" w:hAnsi="Nunito Sans" w:cs="Arial"/>
          <w:b/>
        </w:rPr>
        <w:t>.202</w:t>
      </w:r>
      <w:r w:rsidR="007B2417" w:rsidRPr="00AB41D1">
        <w:rPr>
          <w:rFonts w:ascii="Nunito Sans" w:eastAsia="Times New Roman" w:hAnsi="Nunito Sans" w:cs="Arial"/>
          <w:b/>
        </w:rPr>
        <w:t>4</w:t>
      </w:r>
    </w:p>
    <w:p w14:paraId="3BEE0F76" w14:textId="7619C8BF" w:rsidR="00C216DE" w:rsidRPr="00AB41D1" w:rsidRDefault="00C216DE" w:rsidP="00AB41D1">
      <w:pPr>
        <w:pStyle w:val="p"/>
        <w:spacing w:line="276" w:lineRule="auto"/>
        <w:rPr>
          <w:rFonts w:ascii="Nunito Sans" w:hAnsi="Nunito Sans" w:cs="Arial"/>
        </w:rPr>
      </w:pPr>
    </w:p>
    <w:p w14:paraId="36D3F9FC" w14:textId="77777777" w:rsidR="00C216DE" w:rsidRPr="00AB41D1" w:rsidRDefault="00C216DE" w:rsidP="00AB41D1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D2A0366" w14:textId="77777777" w:rsidR="00C216DE" w:rsidRPr="00AB41D1" w:rsidRDefault="00C216DE" w:rsidP="00AB41D1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4FD14B80" w14:textId="651B6076" w:rsidR="00C216DE" w:rsidRPr="00AB41D1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>WYJAŚNIENIA</w:t>
      </w:r>
      <w:r w:rsidR="000461C6" w:rsidRPr="00AB41D1">
        <w:rPr>
          <w:rFonts w:ascii="Nunito Sans" w:hAnsi="Nunito Sans" w:cs="Arial"/>
          <w:b/>
          <w:bCs/>
        </w:rPr>
        <w:t xml:space="preserve"> ZAMAWIAJĄCEGO WRAZ Z MODYFIKACJĄ</w:t>
      </w:r>
      <w:r w:rsidRPr="00AB41D1">
        <w:rPr>
          <w:rFonts w:ascii="Nunito Sans" w:hAnsi="Nunito Sans" w:cs="Arial"/>
          <w:b/>
          <w:bCs/>
        </w:rPr>
        <w:t xml:space="preserve"> SPECYFIKACJI WARUNKÓW ZAMÓWIENIA</w:t>
      </w:r>
    </w:p>
    <w:p w14:paraId="2B4A59A0" w14:textId="6D8F7365" w:rsidR="00C216DE" w:rsidRPr="00AB41D1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 xml:space="preserve">w </w:t>
      </w:r>
      <w:r w:rsidR="003D25E4" w:rsidRPr="00AB41D1">
        <w:rPr>
          <w:rFonts w:ascii="Nunito Sans" w:hAnsi="Nunito Sans" w:cs="Arial"/>
          <w:b/>
          <w:bCs/>
        </w:rPr>
        <w:t>postępowaniu</w:t>
      </w:r>
      <w:r w:rsidRPr="00AB41D1">
        <w:rPr>
          <w:rFonts w:ascii="Nunito Sans" w:hAnsi="Nunito Sans" w:cs="Arial"/>
          <w:b/>
          <w:bCs/>
        </w:rPr>
        <w:t xml:space="preserve"> pn.:</w:t>
      </w:r>
    </w:p>
    <w:p w14:paraId="5E5D06B8" w14:textId="77777777" w:rsidR="00C216DE" w:rsidRPr="00AB41D1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ADE1DD0" w14:textId="77777777" w:rsidR="00A0587E" w:rsidRPr="00AB41D1" w:rsidRDefault="00A0587E" w:rsidP="00AB41D1">
      <w:pPr>
        <w:spacing w:line="276" w:lineRule="auto"/>
        <w:jc w:val="center"/>
        <w:rPr>
          <w:rFonts w:ascii="Nunito Sans" w:eastAsia="Times New Roman" w:hAnsi="Nunito Sans" w:cs="Arial"/>
          <w:b/>
        </w:rPr>
      </w:pPr>
      <w:bookmarkStart w:id="0" w:name="_Hlk158470829"/>
      <w:r w:rsidRPr="00AB41D1">
        <w:rPr>
          <w:rFonts w:ascii="Nunito Sans" w:hAnsi="Nunito Sans" w:cs="Arial"/>
          <w:b/>
        </w:rPr>
        <w:t xml:space="preserve">„Zakup </w:t>
      </w:r>
      <w:bookmarkStart w:id="1" w:name="_Hlk158464883"/>
      <w:r w:rsidRPr="00AB41D1">
        <w:rPr>
          <w:rFonts w:ascii="Nunito Sans" w:hAnsi="Nunito Sans" w:cs="Arial"/>
          <w:b/>
        </w:rPr>
        <w:t>sprzętu i wyposażenia medycznego przez Poznański Ośrodek Specjalistycznych Usług Medycznych w Poznaniu dla Poradni Okulistycznej</w:t>
      </w:r>
      <w:bookmarkEnd w:id="1"/>
      <w:r w:rsidRPr="00AB41D1">
        <w:rPr>
          <w:rFonts w:ascii="Nunito Sans" w:hAnsi="Nunito Sans" w:cs="Arial"/>
          <w:b/>
        </w:rPr>
        <w:t>”</w:t>
      </w:r>
    </w:p>
    <w:bookmarkEnd w:id="0"/>
    <w:p w14:paraId="69E8570A" w14:textId="77777777" w:rsidR="00F3487B" w:rsidRPr="00AB41D1" w:rsidRDefault="00F3487B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2BCD79A0" w14:textId="77777777" w:rsidR="00F3487B" w:rsidRPr="00AB41D1" w:rsidRDefault="00F3487B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6A59D3C2" w14:textId="5A059399" w:rsidR="00C216DE" w:rsidRPr="00AB41D1" w:rsidRDefault="003D25E4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  <w:r w:rsidRPr="00AB41D1">
        <w:rPr>
          <w:rFonts w:ascii="Nunito Sans" w:hAnsi="Nunito Sans" w:cs="Arial"/>
          <w:bCs/>
        </w:rPr>
        <w:t>D</w:t>
      </w:r>
      <w:r w:rsidR="00C216DE" w:rsidRPr="00AB41D1">
        <w:rPr>
          <w:rFonts w:ascii="Nunito Sans" w:hAnsi="Nunito Sans" w:cs="Arial"/>
          <w:bCs/>
        </w:rPr>
        <w:t>ziałając na podstawie</w:t>
      </w:r>
      <w:r w:rsidRPr="00AB41D1">
        <w:rPr>
          <w:rFonts w:ascii="Nunito Sans" w:hAnsi="Nunito Sans" w:cs="Arial"/>
          <w:bCs/>
        </w:rPr>
        <w:t xml:space="preserve"> art.</w:t>
      </w:r>
      <w:r w:rsidR="00C216DE" w:rsidRPr="00AB41D1">
        <w:rPr>
          <w:rFonts w:ascii="Nunito Sans" w:hAnsi="Nunito Sans" w:cs="Arial"/>
          <w:bCs/>
        </w:rPr>
        <w:t xml:space="preserve"> </w:t>
      </w:r>
      <w:r w:rsidRPr="00AB41D1">
        <w:rPr>
          <w:rFonts w:ascii="Nunito Sans" w:hAnsi="Nunito Sans" w:cs="Arial"/>
          <w:bCs/>
        </w:rPr>
        <w:t xml:space="preserve">284 ust. </w:t>
      </w:r>
      <w:r w:rsidR="00534F73" w:rsidRPr="00AB41D1">
        <w:rPr>
          <w:rFonts w:ascii="Nunito Sans" w:hAnsi="Nunito Sans" w:cs="Arial"/>
          <w:bCs/>
        </w:rPr>
        <w:t xml:space="preserve">1 i </w:t>
      </w:r>
      <w:r w:rsidRPr="00AB41D1">
        <w:rPr>
          <w:rFonts w:ascii="Nunito Sans" w:hAnsi="Nunito Sans" w:cs="Arial"/>
          <w:bCs/>
        </w:rPr>
        <w:t xml:space="preserve">2 </w:t>
      </w:r>
      <w:r w:rsidR="00C216DE" w:rsidRPr="00AB41D1">
        <w:rPr>
          <w:rFonts w:ascii="Nunito Sans" w:hAnsi="Nunito Sans" w:cs="Arial"/>
          <w:bCs/>
        </w:rPr>
        <w:t xml:space="preserve">ustawy z dnia 11 września 2019 r. </w:t>
      </w:r>
      <w:r w:rsidRPr="00AB41D1">
        <w:rPr>
          <w:rFonts w:ascii="Nunito Sans" w:hAnsi="Nunito Sans" w:cs="Arial"/>
          <w:bCs/>
        </w:rPr>
        <w:t>P</w:t>
      </w:r>
      <w:r w:rsidR="00C216DE" w:rsidRPr="00AB41D1">
        <w:rPr>
          <w:rFonts w:ascii="Nunito Sans" w:hAnsi="Nunito Sans" w:cs="Arial"/>
          <w:bCs/>
        </w:rPr>
        <w:t>rawo zamówień publicznych (tj. Dz.U. z 202</w:t>
      </w:r>
      <w:r w:rsidR="007B2417" w:rsidRPr="00AB41D1">
        <w:rPr>
          <w:rFonts w:ascii="Nunito Sans" w:hAnsi="Nunito Sans" w:cs="Arial"/>
          <w:bCs/>
        </w:rPr>
        <w:t>3</w:t>
      </w:r>
      <w:r w:rsidR="00C216DE" w:rsidRPr="00AB41D1">
        <w:rPr>
          <w:rFonts w:ascii="Nunito Sans" w:hAnsi="Nunito Sans" w:cs="Arial"/>
          <w:bCs/>
        </w:rPr>
        <w:t xml:space="preserve"> r., poz. 1</w:t>
      </w:r>
      <w:r w:rsidR="007B2417" w:rsidRPr="00AB41D1">
        <w:rPr>
          <w:rFonts w:ascii="Nunito Sans" w:hAnsi="Nunito Sans" w:cs="Arial"/>
          <w:bCs/>
        </w:rPr>
        <w:t>605</w:t>
      </w:r>
      <w:r w:rsidR="00C216DE" w:rsidRPr="00AB41D1">
        <w:rPr>
          <w:rFonts w:ascii="Nunito Sans" w:hAnsi="Nunito Sans" w:cs="Arial"/>
          <w:bCs/>
        </w:rPr>
        <w:t xml:space="preserve"> z późn.zm.</w:t>
      </w:r>
      <w:r w:rsidRPr="00AB41D1">
        <w:rPr>
          <w:rFonts w:ascii="Nunito Sans" w:hAnsi="Nunito Sans" w:cs="Arial"/>
          <w:bCs/>
        </w:rPr>
        <w:t xml:space="preserve"> – dalej zwanej „PZP”</w:t>
      </w:r>
      <w:r w:rsidR="00C216DE" w:rsidRPr="00AB41D1">
        <w:rPr>
          <w:rFonts w:ascii="Nunito Sans" w:hAnsi="Nunito Sans" w:cs="Arial"/>
          <w:bCs/>
        </w:rPr>
        <w:t xml:space="preserve">), </w:t>
      </w:r>
      <w:r w:rsidRPr="00AB41D1">
        <w:rPr>
          <w:rFonts w:ascii="Nunito Sans" w:hAnsi="Nunito Sans" w:cs="Arial"/>
          <w:b/>
        </w:rPr>
        <w:t xml:space="preserve">Zamawiający </w:t>
      </w:r>
      <w:r w:rsidR="00C216DE" w:rsidRPr="00AB41D1">
        <w:rPr>
          <w:rFonts w:ascii="Nunito Sans" w:hAnsi="Nunito Sans" w:cs="Arial"/>
          <w:b/>
        </w:rPr>
        <w:t>przedstawia treść pytań, które wpłynęły od Wykonawców wraz z udzielonymi wyjaśnieniami:</w:t>
      </w:r>
      <w:r w:rsidR="00C216DE" w:rsidRPr="00AB41D1">
        <w:rPr>
          <w:rFonts w:ascii="Nunito Sans" w:hAnsi="Nunito Sans" w:cs="Arial"/>
          <w:bCs/>
        </w:rPr>
        <w:t xml:space="preserve"> </w:t>
      </w:r>
    </w:p>
    <w:p w14:paraId="3CEA1407" w14:textId="477A9B99" w:rsidR="00A0587E" w:rsidRPr="00AB41D1" w:rsidRDefault="00A0587E" w:rsidP="00AB41D1">
      <w:pPr>
        <w:spacing w:line="276" w:lineRule="auto"/>
        <w:rPr>
          <w:rFonts w:ascii="Nunito Sans" w:eastAsiaTheme="minorHAnsi" w:hAnsi="Nunito Sans" w:cs="Aptos"/>
        </w:rPr>
      </w:pPr>
    </w:p>
    <w:p w14:paraId="29CD8083" w14:textId="77777777" w:rsidR="00A0587E" w:rsidRPr="00AB41D1" w:rsidRDefault="00A0587E" w:rsidP="00AB41D1">
      <w:pPr>
        <w:pStyle w:val="Zwykytekst"/>
        <w:spacing w:line="276" w:lineRule="auto"/>
        <w:rPr>
          <w:sz w:val="22"/>
          <w:szCs w:val="22"/>
        </w:rPr>
      </w:pPr>
      <w:r w:rsidRPr="00AB41D1">
        <w:rPr>
          <w:sz w:val="22"/>
          <w:szCs w:val="22"/>
        </w:rPr>
        <w:t>Pytanie 1</w:t>
      </w:r>
    </w:p>
    <w:p w14:paraId="7B0F140D" w14:textId="203EF1C3" w:rsidR="00A0587E" w:rsidRPr="00AB41D1" w:rsidRDefault="00A0587E" w:rsidP="00AB41D1">
      <w:pPr>
        <w:pStyle w:val="Zwykytekst"/>
        <w:spacing w:line="276" w:lineRule="auto"/>
        <w:rPr>
          <w:i/>
          <w:iCs/>
          <w:sz w:val="22"/>
          <w:szCs w:val="22"/>
        </w:rPr>
      </w:pPr>
      <w:r w:rsidRPr="00AB41D1">
        <w:rPr>
          <w:i/>
          <w:iCs/>
          <w:sz w:val="22"/>
          <w:szCs w:val="22"/>
        </w:rPr>
        <w:t>Czy Zamawiający w p. II.5 wyrazi zgodę na wysokość szczeliny: 14; 10; 5; 1; 0,2 mm?</w:t>
      </w:r>
    </w:p>
    <w:p w14:paraId="0C8129D1" w14:textId="77777777" w:rsidR="00A0587E" w:rsidRPr="00AB41D1" w:rsidRDefault="00A0587E" w:rsidP="00AB41D1">
      <w:pPr>
        <w:pStyle w:val="Zwykytekst"/>
        <w:spacing w:line="276" w:lineRule="auto"/>
        <w:rPr>
          <w:b/>
          <w:bCs/>
          <w:color w:val="FF0000"/>
          <w:sz w:val="22"/>
          <w:szCs w:val="22"/>
        </w:rPr>
      </w:pPr>
      <w:r w:rsidRPr="00AB41D1">
        <w:rPr>
          <w:b/>
          <w:bCs/>
          <w:color w:val="FF0000"/>
          <w:sz w:val="22"/>
          <w:szCs w:val="22"/>
        </w:rPr>
        <w:t>Odpowiedź: Zamawiający wyraża zgodę.</w:t>
      </w:r>
    </w:p>
    <w:p w14:paraId="33160960" w14:textId="77777777" w:rsidR="00A0587E" w:rsidRPr="00AB41D1" w:rsidRDefault="00A0587E" w:rsidP="00AB41D1">
      <w:pPr>
        <w:pStyle w:val="Zwykytekst"/>
        <w:spacing w:line="276" w:lineRule="auto"/>
        <w:rPr>
          <w:sz w:val="22"/>
          <w:szCs w:val="22"/>
        </w:rPr>
      </w:pPr>
    </w:p>
    <w:p w14:paraId="54483768" w14:textId="7182697E" w:rsidR="00A0587E" w:rsidRPr="00AB41D1" w:rsidRDefault="00A0587E" w:rsidP="00AB41D1">
      <w:pPr>
        <w:pStyle w:val="Zwykytekst"/>
        <w:spacing w:line="276" w:lineRule="auto"/>
        <w:rPr>
          <w:i/>
          <w:iCs/>
          <w:sz w:val="22"/>
          <w:szCs w:val="22"/>
        </w:rPr>
      </w:pPr>
      <w:r w:rsidRPr="00AB41D1">
        <w:rPr>
          <w:i/>
          <w:iCs/>
          <w:sz w:val="22"/>
          <w:szCs w:val="22"/>
        </w:rPr>
        <w:t xml:space="preserve">Pytanie </w:t>
      </w:r>
      <w:r w:rsidRPr="00AB41D1">
        <w:rPr>
          <w:i/>
          <w:iCs/>
          <w:sz w:val="22"/>
          <w:szCs w:val="22"/>
        </w:rPr>
        <w:t xml:space="preserve">2 </w:t>
      </w:r>
    </w:p>
    <w:p w14:paraId="522DEA67" w14:textId="2E6E3085" w:rsidR="00A0587E" w:rsidRPr="00AB41D1" w:rsidRDefault="00A0587E" w:rsidP="00AB41D1">
      <w:pPr>
        <w:pStyle w:val="Zwykytekst"/>
        <w:spacing w:line="276" w:lineRule="auto"/>
        <w:jc w:val="both"/>
        <w:rPr>
          <w:i/>
          <w:iCs/>
          <w:sz w:val="22"/>
          <w:szCs w:val="22"/>
        </w:rPr>
      </w:pPr>
      <w:r w:rsidRPr="00AB41D1">
        <w:rPr>
          <w:i/>
          <w:iCs/>
          <w:sz w:val="22"/>
          <w:szCs w:val="22"/>
        </w:rPr>
        <w:t>Czy Zamawiający zgodzi się dodać do wzoru umowy zapis, mówiący o tym, że w przypadku przedłużającej się naprawy Zamawiający nie będzie naliczał kar umownych za przekroczenie terminu naprawy, jeśli Wykonawca na czas przedłużającej się naprawy dostarczy nieodpłatnie sprzęt zastępczy o funkcjonalności i parametrach nie gorszych od przedmiotu umowy?</w:t>
      </w:r>
    </w:p>
    <w:p w14:paraId="566CDE85" w14:textId="77C191D5" w:rsidR="00FD35BF" w:rsidRPr="00AB41D1" w:rsidRDefault="00A0587E" w:rsidP="00AB41D1">
      <w:pPr>
        <w:pStyle w:val="Zwykytekst"/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AB41D1">
        <w:rPr>
          <w:b/>
          <w:bCs/>
          <w:color w:val="FF0000"/>
          <w:sz w:val="22"/>
          <w:szCs w:val="22"/>
        </w:rPr>
        <w:t>Odpowiedź:  Zamawiający wyraża zgodę.</w:t>
      </w:r>
      <w:r w:rsidR="000A29D8" w:rsidRPr="00AB41D1">
        <w:rPr>
          <w:b/>
          <w:bCs/>
          <w:color w:val="FF0000"/>
          <w:sz w:val="22"/>
          <w:szCs w:val="22"/>
        </w:rPr>
        <w:t xml:space="preserve"> W związku z tym, </w:t>
      </w:r>
      <w:r w:rsidR="00FD35BF" w:rsidRPr="00AB41D1">
        <w:rPr>
          <w:rFonts w:cs="Arial"/>
          <w:b/>
          <w:bCs/>
          <w:color w:val="FF0000"/>
          <w:sz w:val="22"/>
          <w:szCs w:val="22"/>
        </w:rPr>
        <w:t>na podstawie art. 286 ust. 1</w:t>
      </w:r>
      <w:r w:rsidR="000A29D8" w:rsidRPr="00AB41D1">
        <w:rPr>
          <w:rFonts w:cs="Arial"/>
          <w:b/>
          <w:bCs/>
          <w:color w:val="FF0000"/>
          <w:sz w:val="22"/>
          <w:szCs w:val="22"/>
        </w:rPr>
        <w:t xml:space="preserve"> i 7</w:t>
      </w:r>
      <w:r w:rsidR="00FD35BF" w:rsidRPr="00AB41D1">
        <w:rPr>
          <w:rFonts w:cs="Arial"/>
          <w:b/>
          <w:bCs/>
          <w:color w:val="FF0000"/>
          <w:sz w:val="22"/>
          <w:szCs w:val="22"/>
        </w:rPr>
        <w:t xml:space="preserve"> Pzp Zamawiający dokonuje </w:t>
      </w:r>
      <w:r w:rsidR="000A29D8" w:rsidRPr="00AB41D1">
        <w:rPr>
          <w:rFonts w:cs="Arial"/>
          <w:b/>
          <w:bCs/>
          <w:color w:val="FF0000"/>
          <w:sz w:val="22"/>
          <w:szCs w:val="22"/>
        </w:rPr>
        <w:t>zmiany wzoru umowy (zał. nr 4 do SWZ) w § 5 ust. 12</w:t>
      </w:r>
      <w:r w:rsidR="00AB41D1" w:rsidRPr="00AB41D1">
        <w:rPr>
          <w:rFonts w:cs="Arial"/>
          <w:b/>
          <w:bCs/>
          <w:color w:val="FF0000"/>
          <w:sz w:val="22"/>
          <w:szCs w:val="22"/>
        </w:rPr>
        <w:t xml:space="preserve"> w następujący sposób</w:t>
      </w:r>
      <w:r w:rsidR="00FD35BF" w:rsidRPr="00AB41D1">
        <w:rPr>
          <w:rFonts w:cs="Arial"/>
          <w:b/>
          <w:bCs/>
          <w:color w:val="FF0000"/>
          <w:sz w:val="22"/>
          <w:szCs w:val="22"/>
        </w:rPr>
        <w:t>:</w:t>
      </w:r>
    </w:p>
    <w:p w14:paraId="4AE881F1" w14:textId="77777777" w:rsidR="00FD35BF" w:rsidRPr="00AB41D1" w:rsidRDefault="00FD35BF" w:rsidP="00AB41D1">
      <w:pPr>
        <w:spacing w:after="0" w:line="276" w:lineRule="auto"/>
        <w:jc w:val="both"/>
        <w:rPr>
          <w:rFonts w:ascii="Nunito Sans" w:hAnsi="Nunito Sans" w:cs="Arial"/>
        </w:rPr>
      </w:pPr>
    </w:p>
    <w:p w14:paraId="7B521F33" w14:textId="77777777" w:rsidR="00AB41D1" w:rsidRPr="00AB41D1" w:rsidRDefault="00FD35BF" w:rsidP="00AB41D1">
      <w:pPr>
        <w:spacing w:after="0" w:line="276" w:lineRule="auto"/>
        <w:jc w:val="both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>Było:</w:t>
      </w:r>
    </w:p>
    <w:p w14:paraId="01ECF0C5" w14:textId="255F0DCD" w:rsidR="00AB41D1" w:rsidRPr="00AB41D1" w:rsidRDefault="00AB41D1" w:rsidP="00AB41D1">
      <w:pPr>
        <w:pStyle w:val="Default"/>
        <w:spacing w:line="276" w:lineRule="auto"/>
        <w:jc w:val="both"/>
        <w:rPr>
          <w:rFonts w:ascii="Nunito Sans" w:hAnsi="Nunito Sans"/>
          <w:i/>
          <w:iCs/>
          <w:color w:val="auto"/>
          <w:sz w:val="22"/>
          <w:szCs w:val="22"/>
        </w:rPr>
      </w:pPr>
      <w:r w:rsidRPr="00AB41D1">
        <w:rPr>
          <w:rFonts w:ascii="Nunito Sans" w:hAnsi="Nunito Sans" w:cs="Arial"/>
          <w:b/>
          <w:bCs/>
          <w:i/>
          <w:iCs/>
          <w:sz w:val="22"/>
          <w:szCs w:val="22"/>
        </w:rPr>
        <w:lastRenderedPageBreak/>
        <w:t>„12.</w:t>
      </w:r>
      <w:r w:rsidRPr="00AB41D1">
        <w:rPr>
          <w:rFonts w:ascii="Nunito Sans" w:hAnsi="Nunito Sans"/>
          <w:i/>
          <w:iCs/>
          <w:sz w:val="22"/>
          <w:szCs w:val="22"/>
        </w:rPr>
        <w:t xml:space="preserve"> </w:t>
      </w:r>
      <w:r w:rsidRPr="00AB41D1">
        <w:rPr>
          <w:rFonts w:ascii="Nunito Sans" w:hAnsi="Nunito Sans"/>
          <w:i/>
          <w:iCs/>
          <w:sz w:val="22"/>
          <w:szCs w:val="22"/>
        </w:rPr>
        <w:t>Maksymalny okres na wymianę lub naprawę przedmiotu umowy (lub jego elementu) albo usunięcie awarii niewymagającej importu części wynosi 96h (dotyczy dni roboczych)</w:t>
      </w:r>
      <w:r w:rsidRPr="00AB41D1">
        <w:rPr>
          <w:rFonts w:ascii="Nunito Sans" w:hAnsi="Nunito Sans"/>
          <w:i/>
          <w:iCs/>
          <w:sz w:val="22"/>
          <w:szCs w:val="22"/>
        </w:rPr>
        <w:t>”</w:t>
      </w:r>
      <w:r w:rsidRPr="00AB41D1">
        <w:rPr>
          <w:rFonts w:ascii="Nunito Sans" w:hAnsi="Nunito Sans"/>
          <w:i/>
          <w:iCs/>
          <w:sz w:val="22"/>
          <w:szCs w:val="22"/>
        </w:rPr>
        <w:t xml:space="preserve">. </w:t>
      </w:r>
    </w:p>
    <w:p w14:paraId="18C232A6" w14:textId="79DD5974" w:rsidR="00AB41D1" w:rsidRPr="00AB41D1" w:rsidRDefault="00AB41D1" w:rsidP="00AB41D1">
      <w:pPr>
        <w:spacing w:after="0" w:line="276" w:lineRule="auto"/>
        <w:ind w:left="360"/>
        <w:jc w:val="both"/>
        <w:rPr>
          <w:rFonts w:ascii="Nunito Sans" w:hAnsi="Nunito Sans" w:cs="Arial"/>
          <w:b/>
          <w:bCs/>
        </w:rPr>
      </w:pPr>
    </w:p>
    <w:p w14:paraId="1B82BB2C" w14:textId="77777777" w:rsidR="00AB41D1" w:rsidRPr="00AB41D1" w:rsidRDefault="00FD35BF" w:rsidP="00AB41D1">
      <w:pPr>
        <w:spacing w:after="0" w:line="276" w:lineRule="auto"/>
        <w:jc w:val="both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>Jest:</w:t>
      </w:r>
    </w:p>
    <w:p w14:paraId="3B8AE0F8" w14:textId="28EE16EF" w:rsidR="00AB41D1" w:rsidRPr="00AB41D1" w:rsidRDefault="00AB41D1" w:rsidP="00AB41D1">
      <w:pPr>
        <w:spacing w:after="0" w:line="276" w:lineRule="auto"/>
        <w:jc w:val="both"/>
        <w:rPr>
          <w:rFonts w:ascii="Nunito Sans" w:hAnsi="Nunito Sans"/>
          <w:i/>
          <w:iCs/>
        </w:rPr>
      </w:pPr>
      <w:r w:rsidRPr="00AB41D1">
        <w:rPr>
          <w:rFonts w:ascii="Nunito Sans" w:hAnsi="Nunito Sans" w:cs="Arial"/>
          <w:b/>
          <w:bCs/>
          <w:i/>
          <w:iCs/>
        </w:rPr>
        <w:t>„</w:t>
      </w:r>
      <w:r w:rsidRPr="00AB41D1">
        <w:rPr>
          <w:rFonts w:ascii="Nunito Sans" w:hAnsi="Nunito Sans" w:cs="Arial"/>
          <w:b/>
          <w:bCs/>
          <w:i/>
          <w:iCs/>
        </w:rPr>
        <w:t>12.</w:t>
      </w:r>
      <w:r w:rsidRPr="00AB41D1">
        <w:rPr>
          <w:rFonts w:ascii="Nunito Sans" w:hAnsi="Nunito Sans"/>
          <w:i/>
          <w:iCs/>
        </w:rPr>
        <w:t xml:space="preserve"> Maksymalny okres na wymianę lub naprawę przedmiotu umowy (lub jego elementu) albo usunięcie awarii niewymagającej importu części wynosi 96h (dotyczy dni roboczych). </w:t>
      </w:r>
      <w:r w:rsidRPr="00AB41D1">
        <w:rPr>
          <w:rFonts w:ascii="Nunito Sans" w:hAnsi="Nunito Sans"/>
          <w:i/>
          <w:iCs/>
          <w:color w:val="FF0000"/>
        </w:rPr>
        <w:t>Zamawiający może wyrazić zgodę na wydłużenie danego terminu, w sytuacji gdy Wykonawca zapewni Zamawiającemu, na cały czas wymiany lub naprawy przedmiotu umowy, nieodpłatnie sprzęt zastępczy o funkcjonalności i parametrach nie gorszych od przedmiotu umowy. W sytuacji tej, Zamawiający nie będzie naliczał Wykonawcy kar umownych, o których mowa w § 6 ust.1 pkt 4</w:t>
      </w:r>
      <w:r>
        <w:rPr>
          <w:rFonts w:ascii="Nunito Sans" w:hAnsi="Nunito Sans"/>
          <w:i/>
          <w:iCs/>
          <w:color w:val="FF0000"/>
        </w:rPr>
        <w:t xml:space="preserve"> (w zakresie zwłoki w wymianie lub naprawie przedmiotu umowy)</w:t>
      </w:r>
      <w:r w:rsidRPr="00AB41D1">
        <w:rPr>
          <w:rFonts w:ascii="Nunito Sans" w:hAnsi="Nunito Sans"/>
          <w:i/>
          <w:iCs/>
          <w:color w:val="FF0000"/>
        </w:rPr>
        <w:t>”.</w:t>
      </w:r>
    </w:p>
    <w:p w14:paraId="42875167" w14:textId="7740A0CB" w:rsidR="004B69A0" w:rsidRPr="00AB41D1" w:rsidRDefault="004B69A0" w:rsidP="00AB41D1">
      <w:pPr>
        <w:autoSpaceDE w:val="0"/>
        <w:autoSpaceDN w:val="0"/>
        <w:adjustRightInd w:val="0"/>
        <w:spacing w:after="0" w:line="276" w:lineRule="auto"/>
        <w:jc w:val="both"/>
        <w:rPr>
          <w:rFonts w:ascii="Nunito Sans" w:hAnsi="Nunito Sans" w:cs="Arial"/>
        </w:rPr>
      </w:pPr>
    </w:p>
    <w:p w14:paraId="4B1DFCEE" w14:textId="6FCF7360" w:rsidR="008E3C1C" w:rsidRPr="00AB41D1" w:rsidRDefault="008E3C1C" w:rsidP="00AB41D1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lang w:eastAsia="en-US"/>
        </w:rPr>
      </w:pPr>
      <w:r w:rsidRPr="00AB41D1">
        <w:rPr>
          <w:rFonts w:ascii="Nunito Sans" w:hAnsi="Nunito Sans" w:cs="Arial"/>
        </w:rPr>
        <w:t>W pozostałym zakresie SWZ i załączniki do SWZ pozostają bez zmian.</w:t>
      </w:r>
    </w:p>
    <w:sectPr w:rsidR="008E3C1C" w:rsidRPr="00AB4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F916" w14:textId="77777777" w:rsidR="00A5743E" w:rsidRDefault="00A5743E" w:rsidP="003D25E4">
      <w:pPr>
        <w:spacing w:after="0" w:line="240" w:lineRule="auto"/>
      </w:pPr>
      <w:r>
        <w:separator/>
      </w:r>
    </w:p>
  </w:endnote>
  <w:endnote w:type="continuationSeparator" w:id="0">
    <w:p w14:paraId="208EE812" w14:textId="77777777" w:rsidR="00A5743E" w:rsidRDefault="00A5743E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E16D" w14:textId="77777777" w:rsidR="00A5743E" w:rsidRDefault="00A5743E" w:rsidP="003D25E4">
      <w:pPr>
        <w:spacing w:after="0" w:line="240" w:lineRule="auto"/>
      </w:pPr>
      <w:r>
        <w:separator/>
      </w:r>
    </w:p>
  </w:footnote>
  <w:footnote w:type="continuationSeparator" w:id="0">
    <w:p w14:paraId="58E66B0D" w14:textId="77777777" w:rsidR="00A5743E" w:rsidRDefault="00A5743E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FCF6" w14:textId="6D8791E0" w:rsidR="00534F73" w:rsidRDefault="00A0587E">
    <w:pPr>
      <w:pStyle w:val="Nagwek"/>
    </w:pPr>
    <w:r w:rsidRPr="007C5ABB">
      <w:rPr>
        <w:noProof/>
      </w:rPr>
      <w:drawing>
        <wp:inline distT="0" distB="0" distL="0" distR="0" wp14:anchorId="04F41FB6" wp14:editId="24713ACC">
          <wp:extent cx="1800154" cy="662306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C5983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058334BF"/>
    <w:multiLevelType w:val="hybridMultilevel"/>
    <w:tmpl w:val="8A066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2DD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C811BA"/>
    <w:multiLevelType w:val="hybridMultilevel"/>
    <w:tmpl w:val="7862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A7EF0"/>
    <w:multiLevelType w:val="hybridMultilevel"/>
    <w:tmpl w:val="22769404"/>
    <w:lvl w:ilvl="0" w:tplc="FA44BE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2040D"/>
    <w:multiLevelType w:val="multilevel"/>
    <w:tmpl w:val="30B612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2A48EF"/>
    <w:multiLevelType w:val="multilevel"/>
    <w:tmpl w:val="9342E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8271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1B3FFC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1767"/>
    <w:multiLevelType w:val="hybridMultilevel"/>
    <w:tmpl w:val="4118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94A58"/>
    <w:multiLevelType w:val="hybridMultilevel"/>
    <w:tmpl w:val="57A829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5045F5"/>
    <w:multiLevelType w:val="multilevel"/>
    <w:tmpl w:val="F59C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49E0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6241">
    <w:abstractNumId w:val="23"/>
  </w:num>
  <w:num w:numId="2" w16cid:durableId="1896772640">
    <w:abstractNumId w:val="7"/>
  </w:num>
  <w:num w:numId="3" w16cid:durableId="453986357">
    <w:abstractNumId w:val="30"/>
  </w:num>
  <w:num w:numId="4" w16cid:durableId="1637103406">
    <w:abstractNumId w:val="21"/>
  </w:num>
  <w:num w:numId="5" w16cid:durableId="1967082852">
    <w:abstractNumId w:val="3"/>
  </w:num>
  <w:num w:numId="6" w16cid:durableId="410584929">
    <w:abstractNumId w:val="27"/>
  </w:num>
  <w:num w:numId="7" w16cid:durableId="796338926">
    <w:abstractNumId w:val="18"/>
  </w:num>
  <w:num w:numId="8" w16cid:durableId="828715028">
    <w:abstractNumId w:val="22"/>
  </w:num>
  <w:num w:numId="9" w16cid:durableId="471991925">
    <w:abstractNumId w:val="29"/>
  </w:num>
  <w:num w:numId="10" w16cid:durableId="1421413840">
    <w:abstractNumId w:val="24"/>
  </w:num>
  <w:num w:numId="11" w16cid:durableId="1343630973">
    <w:abstractNumId w:val="19"/>
  </w:num>
  <w:num w:numId="12" w16cid:durableId="946623923">
    <w:abstractNumId w:val="16"/>
  </w:num>
  <w:num w:numId="13" w16cid:durableId="1924869932">
    <w:abstractNumId w:val="2"/>
  </w:num>
  <w:num w:numId="14" w16cid:durableId="1166870316">
    <w:abstractNumId w:val="10"/>
  </w:num>
  <w:num w:numId="15" w16cid:durableId="1380713702">
    <w:abstractNumId w:val="1"/>
  </w:num>
  <w:num w:numId="16" w16cid:durableId="1223710124">
    <w:abstractNumId w:val="13"/>
  </w:num>
  <w:num w:numId="17" w16cid:durableId="2012103151">
    <w:abstractNumId w:val="20"/>
  </w:num>
  <w:num w:numId="18" w16cid:durableId="908541742">
    <w:abstractNumId w:val="28"/>
  </w:num>
  <w:num w:numId="19" w16cid:durableId="2046634540">
    <w:abstractNumId w:val="0"/>
  </w:num>
  <w:num w:numId="20" w16cid:durableId="492112337">
    <w:abstractNumId w:val="5"/>
  </w:num>
  <w:num w:numId="21" w16cid:durableId="1099519160">
    <w:abstractNumId w:val="14"/>
  </w:num>
  <w:num w:numId="22" w16cid:durableId="177236213">
    <w:abstractNumId w:val="6"/>
  </w:num>
  <w:num w:numId="23" w16cid:durableId="490370401">
    <w:abstractNumId w:val="26"/>
  </w:num>
  <w:num w:numId="24" w16cid:durableId="115605844">
    <w:abstractNumId w:val="12"/>
  </w:num>
  <w:num w:numId="25" w16cid:durableId="558175784">
    <w:abstractNumId w:val="11"/>
  </w:num>
  <w:num w:numId="26" w16cid:durableId="300888757">
    <w:abstractNumId w:val="9"/>
  </w:num>
  <w:num w:numId="27" w16cid:durableId="544560824">
    <w:abstractNumId w:val="17"/>
  </w:num>
  <w:num w:numId="28" w16cid:durableId="1645744132">
    <w:abstractNumId w:val="25"/>
  </w:num>
  <w:num w:numId="29" w16cid:durableId="1022584261">
    <w:abstractNumId w:val="4"/>
  </w:num>
  <w:num w:numId="30" w16cid:durableId="1877346498">
    <w:abstractNumId w:val="15"/>
  </w:num>
  <w:num w:numId="31" w16cid:durableId="2015110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20272"/>
    <w:rsid w:val="000461C6"/>
    <w:rsid w:val="00050C58"/>
    <w:rsid w:val="000A29D8"/>
    <w:rsid w:val="000F35C0"/>
    <w:rsid w:val="001037F5"/>
    <w:rsid w:val="00233463"/>
    <w:rsid w:val="00272EFF"/>
    <w:rsid w:val="002B0D8E"/>
    <w:rsid w:val="002D7EA2"/>
    <w:rsid w:val="003004E1"/>
    <w:rsid w:val="003568AE"/>
    <w:rsid w:val="003A6703"/>
    <w:rsid w:val="003D25E4"/>
    <w:rsid w:val="0041368D"/>
    <w:rsid w:val="00431CE5"/>
    <w:rsid w:val="00454D90"/>
    <w:rsid w:val="00490C92"/>
    <w:rsid w:val="004B69A0"/>
    <w:rsid w:val="00534F73"/>
    <w:rsid w:val="00570A0B"/>
    <w:rsid w:val="005A1261"/>
    <w:rsid w:val="005A25EB"/>
    <w:rsid w:val="006902ED"/>
    <w:rsid w:val="006C1C87"/>
    <w:rsid w:val="006E5747"/>
    <w:rsid w:val="00771D44"/>
    <w:rsid w:val="007B2417"/>
    <w:rsid w:val="007B54FA"/>
    <w:rsid w:val="008622CF"/>
    <w:rsid w:val="00864AEF"/>
    <w:rsid w:val="0087006D"/>
    <w:rsid w:val="008D6F28"/>
    <w:rsid w:val="008E3C1C"/>
    <w:rsid w:val="0094747B"/>
    <w:rsid w:val="00956728"/>
    <w:rsid w:val="009569A6"/>
    <w:rsid w:val="009B2B2C"/>
    <w:rsid w:val="009C3FC4"/>
    <w:rsid w:val="00A0587E"/>
    <w:rsid w:val="00A251D0"/>
    <w:rsid w:val="00A5743E"/>
    <w:rsid w:val="00A81526"/>
    <w:rsid w:val="00AA1409"/>
    <w:rsid w:val="00AB41D1"/>
    <w:rsid w:val="00B45E1E"/>
    <w:rsid w:val="00B629E9"/>
    <w:rsid w:val="00C14505"/>
    <w:rsid w:val="00C216DE"/>
    <w:rsid w:val="00CB1CD3"/>
    <w:rsid w:val="00CE36F4"/>
    <w:rsid w:val="00CE6719"/>
    <w:rsid w:val="00CF3A3F"/>
    <w:rsid w:val="00D01A66"/>
    <w:rsid w:val="00D23598"/>
    <w:rsid w:val="00D429E3"/>
    <w:rsid w:val="00D547C4"/>
    <w:rsid w:val="00E129C4"/>
    <w:rsid w:val="00E23F98"/>
    <w:rsid w:val="00F1469C"/>
    <w:rsid w:val="00F31786"/>
    <w:rsid w:val="00F3487B"/>
    <w:rsid w:val="00F809D4"/>
    <w:rsid w:val="00FA0381"/>
    <w:rsid w:val="00FA0D90"/>
    <w:rsid w:val="00FC419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FD35BF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0587E"/>
    <w:pPr>
      <w:spacing w:after="0" w:line="240" w:lineRule="auto"/>
    </w:pPr>
    <w:rPr>
      <w:rFonts w:ascii="Nunito Sans" w:eastAsiaTheme="minorHAnsi" w:hAnsi="Nunito Sans" w:cs="Aptos"/>
      <w:sz w:val="20"/>
      <w:szCs w:val="20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587E"/>
    <w:rPr>
      <w:rFonts w:ascii="Nunito Sans" w:hAnsi="Nunito Sans" w:cs="Aptos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12</cp:revision>
  <dcterms:created xsi:type="dcterms:W3CDTF">2024-02-08T10:48:00Z</dcterms:created>
  <dcterms:modified xsi:type="dcterms:W3CDTF">2024-02-28T13:32:00Z</dcterms:modified>
</cp:coreProperties>
</file>