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ZPA.271.9.2021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24.06.2021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/>
        </w:rPr>
      </w:pPr>
      <w:r>
        <w:rPr>
          <w:rFonts w:cs="Arial Narrow" w:ascii="Cambria" w:hAnsi="Cambria"/>
          <w:kern w:val="2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„</w:t>
      </w:r>
      <w:r>
        <w:rPr>
          <w:rFonts w:eastAsia="Times New Roman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0"/>
          <w:sz w:val="26"/>
          <w:szCs w:val="26"/>
          <w:lang w:val="pl-PL" w:eastAsia="pl-PL" w:bidi="ar-SA"/>
        </w:rPr>
        <w:t>Modernizacja budynku Warsztatu Terapii Zajęciowej we Włodawie – przystosowanie warunków do przepisów p.poż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”.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poz. 2019 z późn.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Nr 63/2021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 z dnia 14.06.2021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24.06.2021 r., zgodnie z art 222 ust 4  ustawy pzp przed otwarciem ofert udostępniono na stronie internetowej prowadzonego postępowania kwotę jaką Zamawiający zamierza przeznaczyć na sfinansowanie zamówienia wynoszącą: 413 310,41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WZURiB Sp. z o. o., ul. Chełmska 94, 22-200 Włodawa. 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0" w:name="__DdeLink__3309_2113758372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465 695,50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.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 w:before="0" w:after="0"/>
        <w:jc w:val="right"/>
        <w:rPr/>
      </w:pPr>
      <w:r>
        <w:rPr/>
      </w:r>
    </w:p>
    <w:p>
      <w:pPr>
        <w:pStyle w:val="Normal"/>
        <w:bidi w:val="0"/>
        <w:spacing w:lineRule="auto" w:line="360" w:before="0" w:after="0"/>
        <w:jc w:val="both"/>
        <w:rPr/>
      </w:pPr>
      <w:r>
        <w:rPr/>
        <w:tab/>
        <w:tab/>
        <w:tab/>
        <w:tab/>
        <w:tab/>
        <w:tab/>
        <w:tab/>
        <w:tab/>
        <w:tab/>
        <w:tab/>
        <w:t>(-)</w:t>
      </w:r>
      <w:r>
        <w:rPr>
          <w:i/>
          <w:iCs/>
        </w:rPr>
        <w:t xml:space="preserve"> Wiesław Muszyński     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/>
        <w:t>BURMISTRZ WŁODAWY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LibreOffice/7.0.0.3$Windows_X86_64 LibreOffice_project/8061b3e9204bef6b321a21033174034a5e2ea88e</Application>
  <Pages>1</Pages>
  <Words>174</Words>
  <Characters>929</Characters>
  <CharactersWithSpaces>1174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2021-06-24T09:58:46Z</cp:lastPrinted>
  <dcterms:modified xsi:type="dcterms:W3CDTF">2021-06-24T11:27:19Z</dcterms:modified>
  <cp:revision>9</cp:revision>
  <dc:subject/>
  <dc:title/>
</cp:coreProperties>
</file>