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797824EE" w:rsidR="00292073" w:rsidRPr="00943160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943160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8A1F0B" w:rsidRPr="008A1F0B">
        <w:rPr>
          <w:rFonts w:ascii="CalibriBold" w:hAnsi="CalibriBold" w:cs="CalibriBold"/>
          <w:b/>
          <w:bCs/>
          <w:color w:val="auto"/>
          <w:sz w:val="27"/>
          <w:szCs w:val="27"/>
        </w:rPr>
        <w:t>Budowa i rozbudowa oświetlenia ulicznego na terenie Gminy Żmigród oraz modernizacja drogi Osiek -Powidzko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6EB1" w14:textId="77777777" w:rsidR="00565D16" w:rsidRDefault="00565D16" w:rsidP="00F06E23">
      <w:r>
        <w:separator/>
      </w:r>
    </w:p>
  </w:endnote>
  <w:endnote w:type="continuationSeparator" w:id="0">
    <w:p w14:paraId="26650089" w14:textId="77777777" w:rsidR="00565D16" w:rsidRDefault="00565D16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0100" w14:textId="77777777" w:rsidR="00565D16" w:rsidRDefault="00565D16" w:rsidP="00F06E23">
      <w:r>
        <w:separator/>
      </w:r>
    </w:p>
  </w:footnote>
  <w:footnote w:type="continuationSeparator" w:id="0">
    <w:p w14:paraId="1D62B043" w14:textId="77777777" w:rsidR="00565D16" w:rsidRDefault="00565D16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65D16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A1F0B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15DD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B3F76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9</cp:revision>
  <dcterms:created xsi:type="dcterms:W3CDTF">2022-03-24T08:32:00Z</dcterms:created>
  <dcterms:modified xsi:type="dcterms:W3CDTF">2023-03-16T07:55:00Z</dcterms:modified>
</cp:coreProperties>
</file>