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77777777" w:rsidR="005700E0" w:rsidRDefault="009C40A0">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499D5C98" w:rsidR="00FD03BC" w:rsidRDefault="009C40A0">
      <w:pPr>
        <w:spacing w:before="240" w:line="360" w:lineRule="auto"/>
        <w:jc w:val="center"/>
        <w:rPr>
          <w:sz w:val="20"/>
          <w:szCs w:val="20"/>
        </w:rPr>
      </w:pPr>
      <w:r w:rsidRPr="005700E0">
        <w:rPr>
          <w:b/>
          <w:sz w:val="20"/>
          <w:szCs w:val="20"/>
        </w:rPr>
        <w:t>ROBOTY BUDOWLANE]</w:t>
      </w:r>
      <w:r w:rsidRPr="005700E0">
        <w:rPr>
          <w:sz w:val="20"/>
          <w:szCs w:val="20"/>
        </w:rPr>
        <w:t> </w:t>
      </w:r>
      <w:proofErr w:type="spellStart"/>
      <w:r>
        <w:rPr>
          <w:sz w:val="20"/>
          <w:szCs w:val="20"/>
        </w:rPr>
        <w:t>pn</w:t>
      </w:r>
      <w:proofErr w:type="spellEnd"/>
      <w:r>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59446A66" w:rsidR="00FD03BC" w:rsidRPr="00EE4FDD" w:rsidRDefault="009C40A0">
      <w:pPr>
        <w:jc w:val="center"/>
        <w:rPr>
          <w:b/>
          <w:color w:val="000000" w:themeColor="text1"/>
          <w:sz w:val="32"/>
          <w:szCs w:val="32"/>
        </w:rPr>
      </w:pPr>
      <w:r w:rsidRPr="00EE4FDD">
        <w:rPr>
          <w:b/>
          <w:color w:val="000000" w:themeColor="text1"/>
          <w:sz w:val="32"/>
          <w:szCs w:val="32"/>
        </w:rPr>
        <w:t>“Prz</w:t>
      </w:r>
      <w:r w:rsidR="000A7F21">
        <w:rPr>
          <w:b/>
          <w:color w:val="000000" w:themeColor="text1"/>
          <w:sz w:val="32"/>
          <w:szCs w:val="32"/>
        </w:rPr>
        <w:t>ebudowa drogi powiatowej nr 1931</w:t>
      </w:r>
      <w:r w:rsidRPr="00EE4FDD">
        <w:rPr>
          <w:b/>
          <w:color w:val="000000" w:themeColor="text1"/>
          <w:sz w:val="32"/>
          <w:szCs w:val="32"/>
        </w:rPr>
        <w:t xml:space="preserve">C </w:t>
      </w:r>
      <w:r w:rsidR="000A7F21">
        <w:rPr>
          <w:b/>
          <w:color w:val="000000" w:themeColor="text1"/>
          <w:sz w:val="32"/>
          <w:szCs w:val="32"/>
        </w:rPr>
        <w:t>Kowalewko-Kcynia</w:t>
      </w:r>
      <w:r w:rsidRPr="00EE4FDD">
        <w:rPr>
          <w:b/>
          <w:color w:val="000000" w:themeColor="text1"/>
          <w:sz w:val="32"/>
          <w:szCs w:val="32"/>
        </w:rPr>
        <w:t>”</w:t>
      </w:r>
    </w:p>
    <w:p w14:paraId="00000010" w14:textId="77777777" w:rsidR="00FD03BC" w:rsidRDefault="00FD03BC">
      <w:pPr>
        <w:jc w:val="center"/>
        <w:rPr>
          <w:sz w:val="16"/>
          <w:szCs w:val="16"/>
        </w:rPr>
      </w:pPr>
    </w:p>
    <w:p w14:paraId="00000011" w14:textId="2ABDBAE6" w:rsidR="00FD03BC" w:rsidRDefault="000A7F21">
      <w:pPr>
        <w:jc w:val="center"/>
        <w:rPr>
          <w:b/>
          <w:color w:val="FF9900"/>
        </w:rPr>
      </w:pPr>
      <w:r>
        <w:t>Nr postępowania: ZDP-Z-5</w:t>
      </w:r>
      <w:r w:rsidR="009C40A0">
        <w:t>/2021</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66C2E73C" w:rsidR="00FD03BC" w:rsidRDefault="000A7F21">
      <w:pPr>
        <w:jc w:val="center"/>
        <w:rPr>
          <w:b/>
        </w:rPr>
      </w:pPr>
      <w:r>
        <w:rPr>
          <w:b/>
          <w:color w:val="000000" w:themeColor="text1"/>
        </w:rPr>
        <w:t>19 lipca</w:t>
      </w:r>
      <w:r w:rsidR="009C40A0">
        <w:rPr>
          <w:b/>
        </w:rPr>
        <w:t xml:space="preserve"> 2021</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E06438">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E06438">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E06438">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E06438">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E06438">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E06438">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E06438">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E06438">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E06438">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E06438">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E06438">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E06438">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E06438">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E06438">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E06438">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E06438">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E06438">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E06438">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E06438">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E06438">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E06438">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E06438">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E06438">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E06438">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43D9CD67"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r w:rsidR="00116963" w:rsidRPr="00EE4FDD">
        <w:rPr>
          <w:b/>
          <w:color w:val="000000" w:themeColor="text1"/>
          <w:sz w:val="20"/>
          <w:szCs w:val="20"/>
        </w:rPr>
        <w:t>Prz</w:t>
      </w:r>
      <w:r w:rsidR="000A7F21">
        <w:rPr>
          <w:b/>
          <w:color w:val="000000" w:themeColor="text1"/>
          <w:sz w:val="20"/>
          <w:szCs w:val="20"/>
        </w:rPr>
        <w:t>ebudowa drogi powiatowej nr 1931</w:t>
      </w:r>
      <w:r w:rsidR="00116963" w:rsidRPr="00EE4FDD">
        <w:rPr>
          <w:b/>
          <w:color w:val="000000" w:themeColor="text1"/>
          <w:sz w:val="20"/>
          <w:szCs w:val="20"/>
        </w:rPr>
        <w:t xml:space="preserve">C </w:t>
      </w:r>
      <w:r w:rsidR="000A7F21">
        <w:rPr>
          <w:b/>
          <w:color w:val="000000" w:themeColor="text1"/>
          <w:sz w:val="20"/>
          <w:szCs w:val="20"/>
        </w:rPr>
        <w:t>Kowalewko-Kcynia</w:t>
      </w:r>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4C9888D4"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Pr="00EE4FDD">
        <w:rPr>
          <w:b/>
          <w:color w:val="000000" w:themeColor="text1"/>
          <w:sz w:val="20"/>
          <w:szCs w:val="20"/>
        </w:rPr>
        <w:t>z</w:t>
      </w:r>
      <w:r w:rsidR="000A7F21">
        <w:rPr>
          <w:b/>
          <w:color w:val="000000" w:themeColor="text1"/>
          <w:sz w:val="20"/>
          <w:szCs w:val="20"/>
        </w:rPr>
        <w:t>e</w:t>
      </w:r>
      <w:r w:rsidRPr="00EE4FDD">
        <w:rPr>
          <w:b/>
          <w:color w:val="000000" w:themeColor="text1"/>
          <w:sz w:val="20"/>
          <w:szCs w:val="20"/>
        </w:rPr>
        <w:t xml:space="preserve"> </w:t>
      </w:r>
      <w:r w:rsidR="000A7F21">
        <w:rPr>
          <w:b/>
          <w:color w:val="000000" w:themeColor="text1"/>
          <w:sz w:val="20"/>
          <w:szCs w:val="20"/>
        </w:rPr>
        <w:t>środków własnych</w:t>
      </w:r>
      <w:r w:rsidRPr="00EE4FDD">
        <w:rPr>
          <w:b/>
          <w:color w:val="000000" w:themeColor="text1"/>
          <w:sz w:val="20"/>
          <w:szCs w:val="20"/>
        </w:rPr>
        <w:t>.</w:t>
      </w:r>
    </w:p>
    <w:p w14:paraId="63AD2727" w14:textId="07714D19" w:rsidR="00EE4FDD" w:rsidRPr="007834D2" w:rsidRDefault="009C40A0" w:rsidP="00EE4FDD">
      <w:pPr>
        <w:numPr>
          <w:ilvl w:val="0"/>
          <w:numId w:val="1"/>
        </w:numPr>
        <w:spacing w:line="360" w:lineRule="auto"/>
        <w:ind w:left="462"/>
        <w:jc w:val="both"/>
        <w:rPr>
          <w:color w:val="000000" w:themeColor="text1"/>
          <w:sz w:val="20"/>
          <w:szCs w:val="20"/>
        </w:rPr>
      </w:pPr>
      <w:r>
        <w:rPr>
          <w:sz w:val="20"/>
          <w:szCs w:val="20"/>
        </w:rPr>
        <w:lastRenderedPageBreak/>
        <w:t xml:space="preserve">Szczegółowy opis </w:t>
      </w:r>
      <w:r w:rsidR="00116963">
        <w:rPr>
          <w:sz w:val="20"/>
          <w:szCs w:val="20"/>
        </w:rPr>
        <w:t>zamówienia:</w:t>
      </w:r>
      <w:r>
        <w:rPr>
          <w:b/>
          <w:sz w:val="20"/>
          <w:szCs w:val="20"/>
        </w:rPr>
        <w:t xml:space="preserve"> </w:t>
      </w:r>
      <w:r w:rsidR="00116963" w:rsidRPr="007834D2">
        <w:rPr>
          <w:color w:val="000000" w:themeColor="text1"/>
          <w:sz w:val="20"/>
          <w:szCs w:val="20"/>
        </w:rPr>
        <w:t>Prz</w:t>
      </w:r>
      <w:r w:rsidR="000A7F21">
        <w:rPr>
          <w:color w:val="000000" w:themeColor="text1"/>
          <w:sz w:val="20"/>
          <w:szCs w:val="20"/>
        </w:rPr>
        <w:t>ebudowa drogi powiatowej nr 1931</w:t>
      </w:r>
      <w:r w:rsidR="00116963" w:rsidRPr="007834D2">
        <w:rPr>
          <w:color w:val="000000" w:themeColor="text1"/>
          <w:sz w:val="20"/>
          <w:szCs w:val="20"/>
        </w:rPr>
        <w:t xml:space="preserve">C </w:t>
      </w:r>
      <w:r w:rsidR="000A7F21">
        <w:rPr>
          <w:color w:val="000000" w:themeColor="text1"/>
          <w:sz w:val="20"/>
          <w:szCs w:val="20"/>
        </w:rPr>
        <w:t>Kowalewko-Kcynia na odcinku Stalówka-Kcynia</w:t>
      </w:r>
      <w:r w:rsidR="00EE4FDD" w:rsidRPr="007834D2">
        <w:rPr>
          <w:color w:val="000000" w:themeColor="text1"/>
          <w:sz w:val="20"/>
          <w:szCs w:val="20"/>
        </w:rPr>
        <w:t xml:space="preserve"> </w:t>
      </w:r>
      <w:r w:rsidR="00116963" w:rsidRPr="007834D2">
        <w:rPr>
          <w:color w:val="000000" w:themeColor="text1"/>
          <w:sz w:val="20"/>
          <w:szCs w:val="20"/>
        </w:rPr>
        <w:t xml:space="preserve">w km </w:t>
      </w:r>
      <w:r w:rsidR="000A7F21">
        <w:rPr>
          <w:color w:val="000000" w:themeColor="text1"/>
          <w:sz w:val="20"/>
          <w:szCs w:val="20"/>
        </w:rPr>
        <w:t>8+850-9+650 dł. 800</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61835EFA"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Pr>
          <w:color w:val="FF9900"/>
          <w:sz w:val="20"/>
          <w:szCs w:val="20"/>
        </w:rPr>
        <w:t xml:space="preserve"> </w:t>
      </w:r>
      <w:r w:rsidR="000A7F21" w:rsidRPr="000A7F21">
        <w:rPr>
          <w:sz w:val="20"/>
          <w:szCs w:val="20"/>
        </w:rPr>
        <w:t>roboty przygotowawcze, skrzyżowanie (koniec zakresu), jezdnia, zjazdy, chodnik bitumiczny, roboty wykończeniowe.</w:t>
      </w:r>
    </w:p>
    <w:p w14:paraId="7B9F4AC3" w14:textId="065D883B"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6D7BAEEF"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Pr="00CC571D">
        <w:rPr>
          <w:sz w:val="20"/>
          <w:szCs w:val="20"/>
        </w:rPr>
        <w:t>kosztorysem projektowym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4" w:name="_s0i9odf430x7" w:colFirst="0" w:colLast="0"/>
      <w:bookmarkEnd w:id="4"/>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5" w:name="_l3y36xf8w2mt" w:colFirst="0" w:colLast="0"/>
      <w:bookmarkEnd w:id="5"/>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6" w:name="_6katmqtjrys4" w:colFirst="0" w:colLast="0"/>
      <w:bookmarkEnd w:id="6"/>
      <w:r>
        <w:t>VII. Termin wykonania zamówienia</w:t>
      </w:r>
    </w:p>
    <w:p w14:paraId="0000007F" w14:textId="58494730"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0A7F21">
        <w:rPr>
          <w:b/>
          <w:color w:val="000000" w:themeColor="text1"/>
          <w:sz w:val="20"/>
          <w:szCs w:val="20"/>
        </w:rPr>
        <w:t>2 miesiące od daty podpisania umowy</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7" w:name="_nz5qrlch0jbr" w:colFirst="0" w:colLast="0"/>
      <w:bookmarkEnd w:id="7"/>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6B7F0780"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661402">
        <w:rPr>
          <w:sz w:val="20"/>
          <w:szCs w:val="20"/>
        </w:rPr>
        <w:t>500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lastRenderedPageBreak/>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8" w:name="_sv3xn7chhdup" w:colFirst="0" w:colLast="0"/>
      <w:bookmarkEnd w:id="8"/>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FD03BC" w:rsidRDefault="009C40A0">
      <w:pPr>
        <w:pStyle w:val="Nagwek2"/>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Pr>
          <w:sz w:val="20"/>
          <w:szCs w:val="20"/>
        </w:rPr>
        <w:lastRenderedPageBreak/>
        <w:t xml:space="preserve">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0" w:name="_gb4nrns0uw97" w:colFirst="0" w:colLast="0"/>
      <w:bookmarkEnd w:id="10"/>
      <w:r>
        <w:lastRenderedPageBreak/>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1" w:name="_lodptpqf2xh0" w:colFirst="0" w:colLast="0"/>
      <w:bookmarkEnd w:id="11"/>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t>
      </w:r>
      <w:r>
        <w:rPr>
          <w:sz w:val="20"/>
          <w:szCs w:val="20"/>
        </w:rPr>
        <w:lastRenderedPageBreak/>
        <w:t>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2" w:name="_tp7vefgpgfgi" w:colFirst="0" w:colLast="0"/>
      <w:bookmarkEnd w:id="12"/>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72B47072" w14:textId="3EFB004B" w:rsidR="00DA22B6" w:rsidRPr="00DA22B6" w:rsidRDefault="00DA22B6" w:rsidP="00DA22B6">
      <w:pPr>
        <w:pStyle w:val="Akapitzlist"/>
        <w:spacing w:line="320" w:lineRule="auto"/>
        <w:ind w:left="884"/>
        <w:jc w:val="both"/>
        <w:rPr>
          <w:sz w:val="20"/>
          <w:szCs w:val="20"/>
        </w:rPr>
      </w:pPr>
      <w:r>
        <w:rPr>
          <w:sz w:val="20"/>
          <w:szCs w:val="20"/>
        </w:rPr>
        <w:t>Pan Marek Pacholski – Z-ca dyrektora</w:t>
      </w:r>
    </w:p>
    <w:p w14:paraId="000000B1" w14:textId="2E5D3031" w:rsidR="00FD03BC" w:rsidRDefault="009C40A0" w:rsidP="00DA22B6">
      <w:pPr>
        <w:spacing w:line="320" w:lineRule="auto"/>
        <w:ind w:left="720"/>
        <w:jc w:val="both"/>
        <w:rPr>
          <w:color w:val="FF9900"/>
          <w:sz w:val="20"/>
          <w:szCs w:val="20"/>
        </w:rPr>
      </w:pPr>
      <w:r>
        <w:rPr>
          <w:sz w:val="20"/>
          <w:szCs w:val="20"/>
        </w:rPr>
        <w:t xml:space="preserve"> </w:t>
      </w:r>
      <w:hyperlink r:id="rId10" w:history="1">
        <w:r w:rsidR="00DA22B6" w:rsidRPr="00BE70C0">
          <w:rPr>
            <w:rStyle w:val="Hipercze"/>
            <w:sz w:val="20"/>
            <w:szCs w:val="20"/>
          </w:rPr>
          <w:t>marek.pacholski@zdpnaklo.pl</w:t>
        </w:r>
      </w:hyperlink>
    </w:p>
    <w:p w14:paraId="2C4995EE" w14:textId="3D7D478D" w:rsidR="00DA22B6" w:rsidRPr="00DA22B6" w:rsidRDefault="00DA22B6" w:rsidP="00DA22B6">
      <w:pPr>
        <w:ind w:left="720"/>
        <w:rPr>
          <w:color w:val="FF9900"/>
          <w:sz w:val="20"/>
          <w:szCs w:val="20"/>
        </w:rPr>
      </w:pPr>
      <w:r>
        <w:rPr>
          <w:color w:val="FF9900"/>
          <w:sz w:val="20"/>
          <w:szCs w:val="20"/>
        </w:rPr>
        <w:t xml:space="preserve">   </w:t>
      </w: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2">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3">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19">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3" w:name="_rq2udys4csh9" w:colFirst="0" w:colLast="0"/>
      <w:bookmarkEnd w:id="13"/>
      <w:r>
        <w:lastRenderedPageBreak/>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E06438">
      <w:pPr>
        <w:spacing w:line="320" w:lineRule="auto"/>
        <w:ind w:left="720"/>
        <w:jc w:val="both"/>
        <w:rPr>
          <w:sz w:val="20"/>
          <w:szCs w:val="20"/>
        </w:rPr>
      </w:pPr>
      <w:hyperlink r:id="rId29">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lastRenderedPageBreak/>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5" w:name="_c8de4rg6s4kb" w:colFirst="0" w:colLast="0"/>
      <w:bookmarkEnd w:id="15"/>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t>
      </w:r>
      <w:r w:rsidRPr="005F71CD">
        <w:rPr>
          <w:sz w:val="20"/>
          <w:szCs w:val="20"/>
          <w:lang w:val="pl-PL"/>
        </w:rPr>
        <w:lastRenderedPageBreak/>
        <w:t>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6" w:name="_1wm6hsxsy23e" w:colFirst="0" w:colLast="0"/>
      <w:bookmarkEnd w:id="16"/>
      <w:r>
        <w:rPr>
          <w:sz w:val="26"/>
          <w:szCs w:val="26"/>
        </w:rPr>
        <w:t>XVI</w:t>
      </w:r>
      <w:r w:rsidR="00763672">
        <w:rPr>
          <w:sz w:val="26"/>
          <w:szCs w:val="26"/>
        </w:rPr>
        <w:t>I</w:t>
      </w:r>
      <w:r>
        <w:rPr>
          <w:sz w:val="26"/>
          <w:szCs w:val="26"/>
        </w:rPr>
        <w:t>. Wymagania dotyczące wadium</w:t>
      </w:r>
    </w:p>
    <w:p w14:paraId="00000105" w14:textId="7643514A"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0A7F21">
        <w:rPr>
          <w:sz w:val="20"/>
          <w:szCs w:val="20"/>
        </w:rPr>
        <w:t>4</w:t>
      </w:r>
      <w:r w:rsidR="00661402">
        <w:rPr>
          <w:sz w:val="20"/>
          <w:szCs w:val="20"/>
        </w:rPr>
        <w:t>.0</w:t>
      </w:r>
      <w:r w:rsidR="00B1467D">
        <w:rPr>
          <w:sz w:val="20"/>
          <w:szCs w:val="20"/>
        </w:rPr>
        <w:t>00,00 zł</w:t>
      </w:r>
      <w:r>
        <w:rPr>
          <w:smallCaps/>
          <w:sz w:val="20"/>
          <w:szCs w:val="20"/>
        </w:rPr>
        <w:t> </w:t>
      </w:r>
      <w:r w:rsidR="00422E24">
        <w:rPr>
          <w:sz w:val="20"/>
          <w:szCs w:val="20"/>
        </w:rPr>
        <w:t xml:space="preserve"> </w:t>
      </w:r>
      <w:r>
        <w:rPr>
          <w:sz w:val="20"/>
          <w:szCs w:val="20"/>
        </w:rPr>
        <w:t xml:space="preserve">(słownie: </w:t>
      </w:r>
      <w:r w:rsidR="000A7F21">
        <w:rPr>
          <w:sz w:val="20"/>
          <w:szCs w:val="20"/>
        </w:rPr>
        <w:t>cztery tysiące</w:t>
      </w:r>
      <w:r w:rsidR="00661402">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2327EB54"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0A7F21">
        <w:rPr>
          <w:b/>
          <w:i/>
          <w:color w:val="000000" w:themeColor="text1"/>
          <w:sz w:val="20"/>
          <w:szCs w:val="20"/>
        </w:rPr>
        <w:t>ZDP-Z-5</w:t>
      </w:r>
      <w:r w:rsidR="008C0020" w:rsidRPr="00661402">
        <w:rPr>
          <w:b/>
          <w:i/>
          <w:color w:val="000000" w:themeColor="text1"/>
          <w:sz w:val="20"/>
          <w:szCs w:val="20"/>
        </w:rPr>
        <w:t>/2021 Prz</w:t>
      </w:r>
      <w:r w:rsidR="000A7F21">
        <w:rPr>
          <w:b/>
          <w:i/>
          <w:color w:val="000000" w:themeColor="text1"/>
          <w:sz w:val="20"/>
          <w:szCs w:val="20"/>
        </w:rPr>
        <w:t>ebudowa drogi powiatowej nr 1931</w:t>
      </w:r>
      <w:r w:rsidR="008C0020" w:rsidRPr="00661402">
        <w:rPr>
          <w:b/>
          <w:i/>
          <w:color w:val="000000" w:themeColor="text1"/>
          <w:sz w:val="20"/>
          <w:szCs w:val="20"/>
        </w:rPr>
        <w:t>C</w:t>
      </w:r>
      <w:r w:rsidRPr="00422E24">
        <w:rPr>
          <w:i/>
          <w:color w:val="F79646" w:themeColor="accent6"/>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4EA15C9B" w:rsidR="00FD03BC" w:rsidRPr="00422E24" w:rsidRDefault="009C40A0">
      <w:pPr>
        <w:numPr>
          <w:ilvl w:val="0"/>
          <w:numId w:val="25"/>
        </w:numPr>
        <w:spacing w:line="360" w:lineRule="auto"/>
        <w:ind w:left="882" w:hanging="465"/>
        <w:jc w:val="both"/>
        <w:rPr>
          <w:sz w:val="20"/>
          <w:szCs w:val="20"/>
        </w:rPr>
      </w:pPr>
      <w:r>
        <w:rPr>
          <w:sz w:val="20"/>
          <w:szCs w:val="20"/>
        </w:rPr>
        <w:lastRenderedPageBreak/>
        <w:t xml:space="preserve">beneficjentem poręczenia lub gwarancji jest: </w:t>
      </w:r>
      <w:r w:rsidR="00422E24" w:rsidRPr="00422E24">
        <w:rPr>
          <w:sz w:val="20"/>
          <w:szCs w:val="20"/>
        </w:rPr>
        <w:t>Zarząd Dróg Powiatowych w Nakle nad Notecią.</w:t>
      </w:r>
      <w:r w:rsidRPr="00422E24">
        <w:rPr>
          <w:sz w:val="20"/>
          <w:szCs w:val="20"/>
        </w:rPr>
        <w:t xml:space="preserve"> </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08B97529"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7" w:name="_kraqvybbazqg" w:colFirst="0" w:colLast="0"/>
      <w:bookmarkEnd w:id="17"/>
      <w:r>
        <w:t>XVII</w:t>
      </w:r>
      <w:r w:rsidR="00763672">
        <w:t>I</w:t>
      </w:r>
      <w:r>
        <w:t>. Termin związania ofertą</w:t>
      </w:r>
    </w:p>
    <w:p w14:paraId="34076196" w14:textId="3220AC53"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5F71CD">
        <w:rPr>
          <w:sz w:val="20"/>
          <w:szCs w:val="20"/>
        </w:rPr>
        <w:t>2 września</w:t>
      </w:r>
      <w:r w:rsidR="00661402">
        <w:rPr>
          <w:sz w:val="20"/>
          <w:szCs w:val="20"/>
        </w:rPr>
        <w:t xml:space="preserve"> 2021</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8" w:name="_iwk7tzonv6ne" w:colFirst="0" w:colLast="0"/>
      <w:bookmarkEnd w:id="18"/>
      <w:r>
        <w:t>XIX</w:t>
      </w:r>
      <w:r w:rsidR="009C40A0">
        <w:t>. Miejsce i termin składania ofert</w:t>
      </w:r>
    </w:p>
    <w:p w14:paraId="0000011D" w14:textId="231DA690"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0">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1"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5F71CD" w:rsidRPr="00146499">
        <w:rPr>
          <w:b/>
          <w:sz w:val="20"/>
          <w:szCs w:val="20"/>
        </w:rPr>
        <w:t>3 sierpnia</w:t>
      </w:r>
      <w:r w:rsidR="00661402" w:rsidRPr="00146499">
        <w:rPr>
          <w:b/>
          <w:sz w:val="20"/>
          <w:szCs w:val="20"/>
        </w:rPr>
        <w:t xml:space="preserve"> 2021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3">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xml:space="preserve">, gdzie zaznaczono, iż oferty, wnioski o dopuszczenie do udziału w postępowaniu oraz oświadczenie, o którym mowa w art. 125 ust.1 sporządza się, pod </w:t>
      </w:r>
      <w:r w:rsidRPr="00146499">
        <w:rPr>
          <w:sz w:val="20"/>
          <w:szCs w:val="20"/>
        </w:rPr>
        <w:lastRenderedPageBreak/>
        <w:t>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4">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19" w:name="_g4kmfra1vcqp" w:colFirst="0" w:colLast="0"/>
      <w:bookmarkEnd w:id="19"/>
      <w:r>
        <w:t>X</w:t>
      </w:r>
      <w:r w:rsidR="009C40A0">
        <w:t>X. Otwarcie ofert</w:t>
      </w:r>
    </w:p>
    <w:p w14:paraId="00000124" w14:textId="0536F88E"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5F71CD">
        <w:rPr>
          <w:b/>
          <w:color w:val="000000" w:themeColor="text1"/>
          <w:sz w:val="20"/>
          <w:szCs w:val="20"/>
        </w:rPr>
        <w:t>3 sierpnia</w:t>
      </w:r>
      <w:r w:rsidR="00661402" w:rsidRPr="00661402">
        <w:rPr>
          <w:b/>
          <w:color w:val="000000" w:themeColor="text1"/>
          <w:sz w:val="20"/>
          <w:szCs w:val="20"/>
        </w:rPr>
        <w:t xml:space="preserve"> 2021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5">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0" w:name="_kc2xtpcwd955" w:colFirst="0" w:colLast="0"/>
      <w:bookmarkEnd w:id="20"/>
      <w:r>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lastRenderedPageBreak/>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lastRenderedPageBreak/>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1" w:name="_jdd1gpfct9cq" w:colFirst="0" w:colLast="0"/>
      <w:bookmarkEnd w:id="21"/>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2" w:name="_8o16t0j5rcy" w:colFirst="0" w:colLast="0"/>
      <w:bookmarkEnd w:id="22"/>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lastRenderedPageBreak/>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3" w:name="_n1rtepxw0unn" w:colFirst="0" w:colLast="0"/>
      <w:bookmarkEnd w:id="23"/>
      <w:r>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lastRenderedPageBreak/>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77777777"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Zamawiający zgodnie z art. 144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bookmarkStart w:id="24" w:name="_GoBack"/>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lastRenderedPageBreak/>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7872BC64"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144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bookmarkEnd w:id="24"/>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w:t>
      </w:r>
      <w:r>
        <w:rPr>
          <w:sz w:val="20"/>
          <w:szCs w:val="20"/>
        </w:rPr>
        <w:lastRenderedPageBreak/>
        <w:t>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lastRenderedPageBreak/>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E31184" w:rsidRDefault="00E31184">
      <w:pPr>
        <w:spacing w:line="240" w:lineRule="auto"/>
      </w:pPr>
      <w:r>
        <w:separator/>
      </w:r>
    </w:p>
  </w:endnote>
  <w:endnote w:type="continuationSeparator" w:id="0">
    <w:p w14:paraId="720AB9C9" w14:textId="77777777" w:rsidR="00E31184" w:rsidRDefault="00E31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E06438" w:rsidRDefault="00E06438">
    <w:pPr>
      <w:jc w:val="right"/>
    </w:pPr>
    <w:r>
      <w:fldChar w:fldCharType="begin"/>
    </w:r>
    <w:r>
      <w:instrText>PAGE</w:instrText>
    </w:r>
    <w:r>
      <w:fldChar w:fldCharType="separate"/>
    </w:r>
    <w:r w:rsidR="00334A29">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E31184" w:rsidRDefault="00E31184">
      <w:pPr>
        <w:spacing w:line="240" w:lineRule="auto"/>
      </w:pPr>
      <w:r>
        <w:separator/>
      </w:r>
    </w:p>
  </w:footnote>
  <w:footnote w:type="continuationSeparator" w:id="0">
    <w:p w14:paraId="083BACC0" w14:textId="77777777" w:rsidR="00E31184" w:rsidRDefault="00E311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1D58A6C6" w:rsidR="00E06438" w:rsidRDefault="00E06438">
    <w:pPr>
      <w:rPr>
        <w:rFonts w:ascii="Calibri" w:eastAsia="Calibri" w:hAnsi="Calibri" w:cs="Calibri"/>
        <w:color w:val="434343"/>
      </w:rPr>
    </w:pPr>
    <w:r>
      <w:rPr>
        <w:rFonts w:ascii="Calibri" w:eastAsia="Calibri" w:hAnsi="Calibri" w:cs="Calibri"/>
        <w:color w:val="434343"/>
      </w:rPr>
      <w:t>Nr postępowania: ZDP-Z-4/2021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1110ED"/>
    <w:rsid w:val="00116963"/>
    <w:rsid w:val="001306CC"/>
    <w:rsid w:val="00136E0D"/>
    <w:rsid w:val="00146499"/>
    <w:rsid w:val="00165447"/>
    <w:rsid w:val="00166746"/>
    <w:rsid w:val="001968D1"/>
    <w:rsid w:val="001D180A"/>
    <w:rsid w:val="001F36C8"/>
    <w:rsid w:val="00204D90"/>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C177F"/>
    <w:rsid w:val="003C2D08"/>
    <w:rsid w:val="003F5169"/>
    <w:rsid w:val="00422E24"/>
    <w:rsid w:val="00426710"/>
    <w:rsid w:val="00466188"/>
    <w:rsid w:val="004825A7"/>
    <w:rsid w:val="004E11A8"/>
    <w:rsid w:val="004E4F91"/>
    <w:rsid w:val="00513AED"/>
    <w:rsid w:val="005700E0"/>
    <w:rsid w:val="005E5478"/>
    <w:rsid w:val="005F71CD"/>
    <w:rsid w:val="00640A36"/>
    <w:rsid w:val="00661402"/>
    <w:rsid w:val="006C2D87"/>
    <w:rsid w:val="00700D19"/>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D193C"/>
    <w:rsid w:val="00C157E4"/>
    <w:rsid w:val="00C552C5"/>
    <w:rsid w:val="00C55DA5"/>
    <w:rsid w:val="00CB210F"/>
    <w:rsid w:val="00CC571D"/>
    <w:rsid w:val="00D1078D"/>
    <w:rsid w:val="00D31EB3"/>
    <w:rsid w:val="00D50294"/>
    <w:rsid w:val="00D603BB"/>
    <w:rsid w:val="00DA22B6"/>
    <w:rsid w:val="00DB76D1"/>
    <w:rsid w:val="00DF3584"/>
    <w:rsid w:val="00DF7965"/>
    <w:rsid w:val="00E06438"/>
    <w:rsid w:val="00E115AD"/>
    <w:rsid w:val="00E1578B"/>
    <w:rsid w:val="00E31184"/>
    <w:rsid w:val="00E356C2"/>
    <w:rsid w:val="00E761E8"/>
    <w:rsid w:val="00EC0C77"/>
    <w:rsid w:val="00ED1032"/>
    <w:rsid w:val="00EE2FA4"/>
    <w:rsid w:val="00EE3EB1"/>
    <w:rsid w:val="00EE4FDD"/>
    <w:rsid w:val="00EE5E2A"/>
    <w:rsid w:val="00F4085C"/>
    <w:rsid w:val="00F5779B"/>
    <w:rsid w:val="00F8522D"/>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marek.pacholski@zdpnakl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rdk_naklo"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9777</Words>
  <Characters>58664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8</cp:revision>
  <cp:lastPrinted>2021-05-13T06:50:00Z</cp:lastPrinted>
  <dcterms:created xsi:type="dcterms:W3CDTF">2021-06-23T06:11:00Z</dcterms:created>
  <dcterms:modified xsi:type="dcterms:W3CDTF">2021-07-19T08:20:00Z</dcterms:modified>
</cp:coreProperties>
</file>