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F9077" w14:textId="7B404AA0" w:rsidR="000D2461" w:rsidRPr="000D2461" w:rsidRDefault="000D2461" w:rsidP="000D2461">
      <w:pPr>
        <w:spacing w:after="86" w:line="259" w:lineRule="auto"/>
        <w:ind w:left="0" w:right="10" w:firstLine="0"/>
        <w:jc w:val="right"/>
        <w:rPr>
          <w:b/>
          <w:szCs w:val="22"/>
        </w:rPr>
      </w:pPr>
      <w:r w:rsidRPr="000D2461">
        <w:rPr>
          <w:b/>
          <w:szCs w:val="22"/>
        </w:rPr>
        <w:t>Załącznik nr 2 do SWZ</w:t>
      </w:r>
      <w:bookmarkStart w:id="0" w:name="_GoBack"/>
      <w:bookmarkEnd w:id="0"/>
    </w:p>
    <w:p w14:paraId="631CACF8" w14:textId="6588E615" w:rsidR="003879D6" w:rsidRDefault="00C608FC">
      <w:pPr>
        <w:spacing w:after="86" w:line="259" w:lineRule="auto"/>
        <w:ind w:left="0" w:right="10" w:firstLine="0"/>
        <w:jc w:val="center"/>
      </w:pPr>
      <w:r>
        <w:rPr>
          <w:b/>
          <w:sz w:val="32"/>
        </w:rPr>
        <w:t>OPIS PRZEDMIOTU ZAMÓWIENIA</w:t>
      </w:r>
    </w:p>
    <w:p w14:paraId="394705C1" w14:textId="28F8FACF" w:rsidR="003879D6" w:rsidRDefault="00C608FC" w:rsidP="008A257D">
      <w:pPr>
        <w:spacing w:after="0" w:line="259" w:lineRule="auto"/>
        <w:ind w:left="312" w:firstLine="0"/>
        <w:jc w:val="center"/>
      </w:pPr>
      <w:r>
        <w:rPr>
          <w:b/>
          <w:sz w:val="24"/>
        </w:rPr>
        <w:t xml:space="preserve">Zakup i przedłużenie subskrypcji oraz usług serwisowych dla urządzeń firmy </w:t>
      </w:r>
      <w:proofErr w:type="spellStart"/>
      <w:r>
        <w:rPr>
          <w:b/>
          <w:sz w:val="24"/>
        </w:rPr>
        <w:t>Palo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Alto</w:t>
      </w:r>
      <w:proofErr w:type="spellEnd"/>
      <w:r>
        <w:rPr>
          <w:b/>
          <w:sz w:val="24"/>
        </w:rPr>
        <w:t xml:space="preserve"> Networks</w:t>
      </w:r>
    </w:p>
    <w:p w14:paraId="74B49EBE" w14:textId="77777777" w:rsidR="003879D6" w:rsidRDefault="00C608FC">
      <w:pPr>
        <w:spacing w:after="192" w:line="259" w:lineRule="auto"/>
        <w:ind w:left="0" w:firstLine="0"/>
        <w:jc w:val="left"/>
      </w:pPr>
      <w:r>
        <w:t xml:space="preserve"> </w:t>
      </w:r>
    </w:p>
    <w:p w14:paraId="503AD2DD" w14:textId="10A48495" w:rsidR="003879D6" w:rsidRDefault="00C608FC">
      <w:pPr>
        <w:numPr>
          <w:ilvl w:val="0"/>
          <w:numId w:val="1"/>
        </w:numPr>
        <w:ind w:hanging="360"/>
      </w:pPr>
      <w:r>
        <w:t xml:space="preserve">Przedmiotem zamówienia jest zakup i przedłużenie subskrypcji oraz usług serwisowych dla urządzeń firmy </w:t>
      </w:r>
      <w:proofErr w:type="spellStart"/>
      <w:r>
        <w:t>Palo</w:t>
      </w:r>
      <w:proofErr w:type="spellEnd"/>
      <w:r>
        <w:t xml:space="preserve"> </w:t>
      </w:r>
      <w:proofErr w:type="spellStart"/>
      <w:r>
        <w:t>Alto</w:t>
      </w:r>
      <w:proofErr w:type="spellEnd"/>
      <w:r>
        <w:t xml:space="preserve"> Networks zaimplementowanych w infrastrukturze Zamawiającego.</w:t>
      </w:r>
    </w:p>
    <w:p w14:paraId="7BB83B3A" w14:textId="468C70B5" w:rsidR="003879D6" w:rsidRDefault="00C608FC">
      <w:pPr>
        <w:numPr>
          <w:ilvl w:val="0"/>
          <w:numId w:val="1"/>
        </w:numPr>
        <w:ind w:hanging="360"/>
      </w:pPr>
      <w:r>
        <w:t xml:space="preserve">W ramach zamówienia Wykonawca zapewni asystę techniczną do etapu poprawnego powiązania subskrypcji będących przedmiotem zamówienia na wskazanych urządzeniach </w:t>
      </w:r>
      <w:r w:rsidR="008A257D">
        <w:t>Z</w:t>
      </w:r>
      <w:r>
        <w:t>amawiającego</w:t>
      </w:r>
      <w:r w:rsidR="008A257D">
        <w:t>.</w:t>
      </w:r>
    </w:p>
    <w:p w14:paraId="65C52331" w14:textId="02C633F6" w:rsidR="003879D6" w:rsidRDefault="00C608FC">
      <w:pPr>
        <w:numPr>
          <w:ilvl w:val="0"/>
          <w:numId w:val="1"/>
        </w:numPr>
        <w:ind w:hanging="360"/>
      </w:pPr>
      <w:r>
        <w:t xml:space="preserve">Zamawiający </w:t>
      </w:r>
      <w:r w:rsidR="00BA0E1D">
        <w:t>wymaga,</w:t>
      </w:r>
      <w:r>
        <w:t xml:space="preserve"> aby subskrypcje i usługi serwisowe producenta dla urządzeń były świadczone </w:t>
      </w:r>
      <w:r w:rsidR="00EB3B01">
        <w:t xml:space="preserve">w terminie: </w:t>
      </w:r>
      <w:r w:rsidR="00EA1D49">
        <w:t>od</w:t>
      </w:r>
      <w:r w:rsidR="00EB3B01">
        <w:t xml:space="preserve"> 07.01.2025 r. do 31.08.2028 r.</w:t>
      </w:r>
    </w:p>
    <w:p w14:paraId="56E40A35" w14:textId="14CCA014" w:rsidR="003879D6" w:rsidRDefault="00C608FC">
      <w:pPr>
        <w:numPr>
          <w:ilvl w:val="0"/>
          <w:numId w:val="1"/>
        </w:numPr>
        <w:ind w:hanging="360"/>
      </w:pPr>
      <w:r>
        <w:t>Wykonawca ma obowiązek zapewnić usługi serwisowe producenta które muszą obejmować:</w:t>
      </w:r>
    </w:p>
    <w:p w14:paraId="05687351" w14:textId="0F34651B" w:rsidR="003879D6" w:rsidRDefault="00C608FC">
      <w:pPr>
        <w:numPr>
          <w:ilvl w:val="2"/>
          <w:numId w:val="2"/>
        </w:numPr>
        <w:ind w:hanging="360"/>
      </w:pPr>
      <w:r>
        <w:t>diagnostykę zdarzeń dotyczących oprogramowania;</w:t>
      </w:r>
    </w:p>
    <w:p w14:paraId="131C98A9" w14:textId="681781D1" w:rsidR="003879D6" w:rsidRDefault="00C608FC">
      <w:pPr>
        <w:numPr>
          <w:ilvl w:val="2"/>
          <w:numId w:val="2"/>
        </w:numPr>
        <w:ind w:hanging="360"/>
      </w:pPr>
      <w:r>
        <w:t>dostarczanie rozwiązań błędów oprogramowania;</w:t>
      </w:r>
    </w:p>
    <w:p w14:paraId="4B1941A4" w14:textId="5DF5659B" w:rsidR="003879D6" w:rsidRDefault="00C608FC">
      <w:pPr>
        <w:numPr>
          <w:ilvl w:val="2"/>
          <w:numId w:val="2"/>
        </w:numPr>
        <w:ind w:hanging="360"/>
      </w:pPr>
      <w:r>
        <w:t xml:space="preserve">zapewnienie łat (ang. </w:t>
      </w:r>
      <w:proofErr w:type="spellStart"/>
      <w:r>
        <w:t>patches</w:t>
      </w:r>
      <w:proofErr w:type="spellEnd"/>
      <w:r>
        <w:t>), tj. poprawek lub aktualizacji mających na celu usunięcie problemów, błędów, rozszerzenie funkcjonalności lub zwiększenie wydajności wcześniejszej wersji oprogramowania;</w:t>
      </w:r>
    </w:p>
    <w:p w14:paraId="22F81DE7" w14:textId="68DC13ED" w:rsidR="003879D6" w:rsidRDefault="00C608FC">
      <w:pPr>
        <w:numPr>
          <w:ilvl w:val="2"/>
          <w:numId w:val="2"/>
        </w:numPr>
        <w:ind w:hanging="360"/>
      </w:pPr>
      <w:r>
        <w:t xml:space="preserve">zapewnienie aktualizacji do nowych, wyższych wersji oprogramowania (ang. </w:t>
      </w:r>
      <w:proofErr w:type="spellStart"/>
      <w:r>
        <w:t>upgrades</w:t>
      </w:r>
      <w:proofErr w:type="spellEnd"/>
      <w:r>
        <w:t>);</w:t>
      </w:r>
    </w:p>
    <w:p w14:paraId="239FDAEC" w14:textId="2A47C47A" w:rsidR="003879D6" w:rsidRDefault="00C608FC">
      <w:pPr>
        <w:numPr>
          <w:ilvl w:val="2"/>
          <w:numId w:val="2"/>
        </w:numPr>
        <w:ind w:hanging="360"/>
      </w:pPr>
      <w:r>
        <w:t>udzielanie odpowiedzi na zapytania związane z instalacją i eksploatacją dostarczonego oprogramowania;</w:t>
      </w:r>
    </w:p>
    <w:p w14:paraId="469E4575" w14:textId="1E4935A5" w:rsidR="003879D6" w:rsidRDefault="00C608FC">
      <w:pPr>
        <w:numPr>
          <w:ilvl w:val="2"/>
          <w:numId w:val="2"/>
        </w:numPr>
        <w:ind w:hanging="360"/>
      </w:pPr>
      <w:r>
        <w:t>aktualizacje bazy aplikacji;</w:t>
      </w:r>
    </w:p>
    <w:p w14:paraId="40DB7C69" w14:textId="799BACB1" w:rsidR="003879D6" w:rsidRDefault="00C608FC">
      <w:pPr>
        <w:numPr>
          <w:ilvl w:val="2"/>
          <w:numId w:val="2"/>
        </w:numPr>
        <w:spacing w:after="9"/>
        <w:ind w:hanging="360"/>
      </w:pPr>
      <w:r>
        <w:t>procedurę wymiany sprzętu na nowy w przypadku awarii (RMA)</w:t>
      </w:r>
    </w:p>
    <w:p w14:paraId="1A8DF917" w14:textId="643CF384" w:rsidR="003879D6" w:rsidRDefault="00C608FC">
      <w:pPr>
        <w:numPr>
          <w:ilvl w:val="0"/>
          <w:numId w:val="1"/>
        </w:numPr>
        <w:ind w:hanging="360"/>
      </w:pPr>
      <w:r>
        <w:t>Subskrypcje dla urządzeń 2 urządzenia PA-3220</w:t>
      </w:r>
      <w:r w:rsidR="002F360A">
        <w:t xml:space="preserve"> </w:t>
      </w:r>
      <w:r>
        <w:t>muszą obejmować minimum:</w:t>
      </w:r>
    </w:p>
    <w:p w14:paraId="39AA0F85" w14:textId="2899B189" w:rsidR="00B9375A" w:rsidRDefault="002F360A" w:rsidP="00B9375A">
      <w:pPr>
        <w:numPr>
          <w:ilvl w:val="1"/>
          <w:numId w:val="1"/>
        </w:numPr>
        <w:ind w:left="1418" w:hanging="425"/>
      </w:pPr>
      <w:r>
        <w:t xml:space="preserve">Odnowienie wsparcia serwisowego. W zakres wsparcia wchodzi: bezpośredni dostęp do inżynierów wsparcia technicznego: Pomoc specjalistów ds. wsparcia </w:t>
      </w:r>
      <w:proofErr w:type="spellStart"/>
      <w:r>
        <w:t>Palo</w:t>
      </w:r>
      <w:proofErr w:type="spellEnd"/>
      <w:r>
        <w:t xml:space="preserve"> </w:t>
      </w:r>
      <w:proofErr w:type="spellStart"/>
      <w:r>
        <w:t>Alto</w:t>
      </w:r>
      <w:proofErr w:type="spellEnd"/>
      <w:r>
        <w:t xml:space="preserve"> Networks w rozwiązywaniu problemów</w:t>
      </w:r>
      <w:r w:rsidR="00B9375A">
        <w:t xml:space="preserve">; </w:t>
      </w:r>
      <w:r>
        <w:t>Aktualizacje oprogramowania i poprawek</w:t>
      </w:r>
      <w:r w:rsidR="00B9375A">
        <w:t>,</w:t>
      </w:r>
      <w:r>
        <w:t xml:space="preserve"> </w:t>
      </w:r>
      <w:r w:rsidR="00B9375A">
        <w:t>d</w:t>
      </w:r>
      <w:r>
        <w:t>ostęp do najnowszych aktualizacji dla systemu PA-3220</w:t>
      </w:r>
      <w:r w:rsidR="00B9375A">
        <w:t>, z</w:t>
      </w:r>
      <w:r>
        <w:t>arządzanie zgłoszeniami serwisowymi</w:t>
      </w:r>
      <w:r w:rsidR="00B9375A">
        <w:t xml:space="preserve"> - p</w:t>
      </w:r>
      <w:r>
        <w:t>riorytetowe podejście do zgłoszeń serwisowych.</w:t>
      </w:r>
    </w:p>
    <w:p w14:paraId="48DF2294" w14:textId="63511BF2" w:rsidR="00B9375A" w:rsidRDefault="002F360A" w:rsidP="00B9375A">
      <w:pPr>
        <w:numPr>
          <w:ilvl w:val="1"/>
          <w:numId w:val="1"/>
        </w:numPr>
        <w:ind w:left="1418" w:hanging="425"/>
      </w:pPr>
      <w:r w:rsidRPr="002F360A">
        <w:t>Subskrypcj</w:t>
      </w:r>
      <w:r>
        <w:t>ę</w:t>
      </w:r>
      <w:r w:rsidRPr="002F360A">
        <w:t xml:space="preserve"> zapobiegania zagrożeniom (</w:t>
      </w:r>
      <w:proofErr w:type="spellStart"/>
      <w:r w:rsidRPr="002F360A">
        <w:t>Threat</w:t>
      </w:r>
      <w:proofErr w:type="spellEnd"/>
      <w:r w:rsidRPr="002F360A">
        <w:t xml:space="preserve"> </w:t>
      </w:r>
      <w:proofErr w:type="spellStart"/>
      <w:r w:rsidRPr="002F360A">
        <w:t>prevention</w:t>
      </w:r>
      <w:proofErr w:type="spellEnd"/>
      <w:r w:rsidRPr="002F360A">
        <w:t xml:space="preserve">). Obejmuje technologie zapobiegające zagrożeniom, takie jak ochrona przed </w:t>
      </w:r>
      <w:proofErr w:type="spellStart"/>
      <w:r w:rsidRPr="002F360A">
        <w:t>malware</w:t>
      </w:r>
      <w:proofErr w:type="spellEnd"/>
      <w:r w:rsidRPr="002F360A">
        <w:t xml:space="preserve">, atakami sieciowymi, oprogramowaniem szpiegującym oraz zaawansowanymi atakami i </w:t>
      </w:r>
      <w:proofErr w:type="spellStart"/>
      <w:r w:rsidRPr="002F360A">
        <w:t>exploitami</w:t>
      </w:r>
      <w:proofErr w:type="spellEnd"/>
      <w:r w:rsidRPr="002F360A">
        <w:t>.</w:t>
      </w:r>
    </w:p>
    <w:p w14:paraId="5E16E1BA" w14:textId="77777777" w:rsidR="00583C7A" w:rsidRDefault="00B9375A" w:rsidP="00583C7A">
      <w:pPr>
        <w:numPr>
          <w:ilvl w:val="1"/>
          <w:numId w:val="1"/>
        </w:numPr>
        <w:ind w:left="1418" w:hanging="425"/>
      </w:pPr>
      <w:r w:rsidRPr="00B9375A">
        <w:t xml:space="preserve">Advanced URL </w:t>
      </w:r>
      <w:proofErr w:type="spellStart"/>
      <w:r w:rsidRPr="00B9375A">
        <w:t>Filtering</w:t>
      </w:r>
      <w:proofErr w:type="spellEnd"/>
      <w:r>
        <w:t xml:space="preserve">, która </w:t>
      </w:r>
      <w:r w:rsidRPr="00B9375A">
        <w:t xml:space="preserve">zapewnia ochronę sieci przed zagrożeniami złośliwego oprogramowania i </w:t>
      </w:r>
      <w:proofErr w:type="spellStart"/>
      <w:r w:rsidRPr="00B9375A">
        <w:t>phishingu</w:t>
      </w:r>
      <w:proofErr w:type="spellEnd"/>
      <w:r w:rsidRPr="00B9375A">
        <w:t xml:space="preserve">, wykorzystując zaawansowane filtrowanie ruchu internetowego na podstawie adresów URL. </w:t>
      </w:r>
      <w:r>
        <w:t xml:space="preserve">Dynamiczne aktualizacje kategorii URL: Baza danych jest regularnie aktualizowana o nowe zagrożenia i kategorie stron. Ochrona przed </w:t>
      </w:r>
      <w:proofErr w:type="spellStart"/>
      <w:r>
        <w:t>phishingiem</w:t>
      </w:r>
      <w:proofErr w:type="spellEnd"/>
      <w:r>
        <w:t xml:space="preserve"> i </w:t>
      </w:r>
      <w:proofErr w:type="spellStart"/>
      <w:r>
        <w:t>malware</w:t>
      </w:r>
      <w:proofErr w:type="spellEnd"/>
      <w:r>
        <w:t>: Skuteczne wykrywanie złośliwych adresów URL i zapobieganie ich dostępowi.</w:t>
      </w:r>
    </w:p>
    <w:p w14:paraId="3172683C" w14:textId="458867CE" w:rsidR="00583C7A" w:rsidRDefault="00583C7A" w:rsidP="00583C7A">
      <w:pPr>
        <w:numPr>
          <w:ilvl w:val="1"/>
          <w:numId w:val="1"/>
        </w:numPr>
        <w:ind w:left="1418" w:hanging="425"/>
      </w:pPr>
      <w:r>
        <w:t xml:space="preserve">Usługi </w:t>
      </w:r>
      <w:proofErr w:type="spellStart"/>
      <w:r>
        <w:t>GlobalProtect</w:t>
      </w:r>
      <w:proofErr w:type="spellEnd"/>
      <w:r>
        <w:t xml:space="preserve"> obejmujące bezpieczny dostęp zdalny, która umożliwia użytkownikom dostęp do sieci z dowolnej lokalizacji z zachowaniem zasad bezpieczeństwa, monitorowanie sesji użytkownika, utrzymuje kontrolę nad aktywnością i sesjami użytkowników zdalnych, zapewnia ochronę przed złośliwym oprogramowaniem, zagrożeniami sieciowymi oraz innymi próbami nieautoryzowanego </w:t>
      </w:r>
      <w:r>
        <w:lastRenderedPageBreak/>
        <w:t>dostępu, automatycznie stosuje polityki bezpieczeństwa, nawet gdy użytkownicy są poza siecią firmową.</w:t>
      </w:r>
    </w:p>
    <w:p w14:paraId="1E802C55" w14:textId="77777777" w:rsidR="003879D6" w:rsidRDefault="00C608FC">
      <w:pPr>
        <w:numPr>
          <w:ilvl w:val="0"/>
          <w:numId w:val="1"/>
        </w:numPr>
        <w:spacing w:after="1"/>
        <w:ind w:hanging="360"/>
      </w:pPr>
      <w:r>
        <w:t xml:space="preserve">Zestawienie modeli wraz z numerami seryjnymi oraz wymaganymi w zamówieniu serwisami i subskrypcjami prezentuje tabela: </w:t>
      </w:r>
    </w:p>
    <w:p w14:paraId="5EDA3CC6" w14:textId="77777777" w:rsidR="008A257D" w:rsidRDefault="008A257D" w:rsidP="008A257D">
      <w:pPr>
        <w:spacing w:after="1"/>
        <w:ind w:left="360" w:firstLine="0"/>
      </w:pPr>
    </w:p>
    <w:tbl>
      <w:tblPr>
        <w:tblStyle w:val="TableGrid"/>
        <w:tblW w:w="8704" w:type="dxa"/>
        <w:tblInd w:w="365" w:type="dxa"/>
        <w:tblCellMar>
          <w:top w:w="40" w:type="dxa"/>
          <w:left w:w="113" w:type="dxa"/>
          <w:right w:w="68" w:type="dxa"/>
        </w:tblCellMar>
        <w:tblLook w:val="04A0" w:firstRow="1" w:lastRow="0" w:firstColumn="1" w:lastColumn="0" w:noHBand="0" w:noVBand="1"/>
      </w:tblPr>
      <w:tblGrid>
        <w:gridCol w:w="2324"/>
        <w:gridCol w:w="6380"/>
      </w:tblGrid>
      <w:tr w:rsidR="008A257D" w:rsidRPr="002F360A" w14:paraId="2967BD6A" w14:textId="77777777" w:rsidTr="00F4260B">
        <w:trPr>
          <w:trHeight w:val="278"/>
        </w:trPr>
        <w:tc>
          <w:tcPr>
            <w:tcW w:w="8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EEAF" w14:textId="706EDD7F" w:rsidR="008A257D" w:rsidRPr="002F360A" w:rsidRDefault="008A257D" w:rsidP="008A257D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F360A">
              <w:rPr>
                <w:sz w:val="20"/>
                <w:szCs w:val="20"/>
              </w:rPr>
              <w:t>Klaster urządzeń PA-3220</w:t>
            </w:r>
          </w:p>
        </w:tc>
      </w:tr>
      <w:tr w:rsidR="002F360A" w:rsidRPr="002F360A" w14:paraId="679B3D77" w14:textId="77777777" w:rsidTr="002F360A"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952B" w14:textId="51F720B1" w:rsidR="002F360A" w:rsidRPr="002F360A" w:rsidRDefault="002F360A" w:rsidP="008A257D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F360A">
              <w:rPr>
                <w:sz w:val="20"/>
                <w:szCs w:val="20"/>
              </w:rPr>
              <w:t>Wymagane w</w:t>
            </w:r>
            <w:r w:rsidR="008A257D">
              <w:rPr>
                <w:sz w:val="20"/>
                <w:szCs w:val="20"/>
              </w:rPr>
              <w:t>s</w:t>
            </w:r>
            <w:r w:rsidRPr="002F360A">
              <w:rPr>
                <w:sz w:val="20"/>
                <w:szCs w:val="20"/>
              </w:rPr>
              <w:t xml:space="preserve">parcie i subskrypcje w postaci numerów produktowych/PN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38DC" w14:textId="4671B385" w:rsidR="002F360A" w:rsidRPr="002F360A" w:rsidRDefault="002F360A" w:rsidP="002F360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F360A">
              <w:rPr>
                <w:sz w:val="20"/>
                <w:szCs w:val="20"/>
              </w:rPr>
              <w:t>PAN-PA-3220-TP-3YR-R</w:t>
            </w:r>
          </w:p>
        </w:tc>
      </w:tr>
      <w:tr w:rsidR="002F360A" w:rsidRPr="002F360A" w14:paraId="54EC1E04" w14:textId="77777777" w:rsidTr="002F360A">
        <w:tc>
          <w:tcPr>
            <w:tcW w:w="23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91ED80" w14:textId="77777777" w:rsidR="002F360A" w:rsidRPr="002F360A" w:rsidRDefault="002F360A" w:rsidP="002F360A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4C9BD" w14:textId="217DD143" w:rsidR="002F360A" w:rsidRPr="002F360A" w:rsidRDefault="002F360A" w:rsidP="002F360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F360A">
              <w:rPr>
                <w:sz w:val="20"/>
                <w:szCs w:val="20"/>
              </w:rPr>
              <w:t>PAN-SVC-BKLN-3220-3YR-R</w:t>
            </w:r>
          </w:p>
        </w:tc>
      </w:tr>
      <w:tr w:rsidR="002F360A" w:rsidRPr="002F360A" w14:paraId="31B887B9" w14:textId="77777777" w:rsidTr="002F360A">
        <w:tc>
          <w:tcPr>
            <w:tcW w:w="23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486ECD" w14:textId="77777777" w:rsidR="002F360A" w:rsidRPr="002F360A" w:rsidRDefault="002F360A" w:rsidP="002F360A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BE61" w14:textId="293AC490" w:rsidR="002F360A" w:rsidRPr="002F360A" w:rsidRDefault="002F360A" w:rsidP="002F360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F360A">
              <w:rPr>
                <w:sz w:val="20"/>
                <w:szCs w:val="20"/>
              </w:rPr>
              <w:t>PAN-PA-3220-ADVURL-3YR-R</w:t>
            </w:r>
          </w:p>
        </w:tc>
      </w:tr>
      <w:tr w:rsidR="002F360A" w:rsidRPr="002F360A" w14:paraId="0DA13A06" w14:textId="77777777" w:rsidTr="002F360A">
        <w:tc>
          <w:tcPr>
            <w:tcW w:w="2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A10C" w14:textId="77777777" w:rsidR="002F360A" w:rsidRPr="002F360A" w:rsidRDefault="002F360A" w:rsidP="002F360A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70BEC" w14:textId="0184A2D4" w:rsidR="002F360A" w:rsidRPr="002F360A" w:rsidRDefault="002F360A" w:rsidP="002F360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F360A">
              <w:rPr>
                <w:sz w:val="20"/>
                <w:szCs w:val="20"/>
              </w:rPr>
              <w:t>PAN-PA-3220-GP-3YR</w:t>
            </w:r>
          </w:p>
        </w:tc>
      </w:tr>
    </w:tbl>
    <w:p w14:paraId="2AE190D9" w14:textId="63189482" w:rsidR="003879D6" w:rsidRDefault="003879D6">
      <w:pPr>
        <w:spacing w:after="158" w:line="259" w:lineRule="auto"/>
        <w:ind w:left="0" w:firstLine="0"/>
        <w:jc w:val="left"/>
      </w:pPr>
    </w:p>
    <w:p w14:paraId="270CE6E9" w14:textId="77777777" w:rsidR="008A257D" w:rsidRPr="002F360A" w:rsidRDefault="008A257D">
      <w:pPr>
        <w:spacing w:after="158" w:line="259" w:lineRule="auto"/>
        <w:ind w:left="0" w:firstLine="0"/>
        <w:jc w:val="left"/>
      </w:pPr>
    </w:p>
    <w:p w14:paraId="2A7EA921" w14:textId="63C729BF" w:rsidR="003879D6" w:rsidRDefault="00C608FC">
      <w:pPr>
        <w:spacing w:after="158" w:line="259" w:lineRule="auto"/>
        <w:ind w:left="0" w:firstLine="0"/>
        <w:jc w:val="left"/>
      </w:pPr>
      <w:r>
        <w:t xml:space="preserve">Numery produktowe przedstawione w tabeli posiadają charakter orientacyjny, odnosząc się do subskrypcji na okres 36 miesięcy. Przedmiotem niniejszego zamówienia jest dostarczenie oficjalnych odpowiedników wskazanych numerów produktowych, które będą dostosowane do wymagań czasowych </w:t>
      </w:r>
      <w:r w:rsidR="00D17D94">
        <w:t xml:space="preserve">wskazanych przez Zamawiającego </w:t>
      </w:r>
      <w:r>
        <w:t xml:space="preserve">dla różnych typów urządzeń. </w:t>
      </w:r>
    </w:p>
    <w:p w14:paraId="582B17BA" w14:textId="00694F6C" w:rsidR="003879D6" w:rsidRDefault="003879D6">
      <w:pPr>
        <w:spacing w:after="160" w:line="259" w:lineRule="auto"/>
        <w:ind w:left="0" w:firstLine="0"/>
        <w:jc w:val="left"/>
      </w:pPr>
    </w:p>
    <w:p w14:paraId="083A1204" w14:textId="6C4DD174" w:rsidR="003879D6" w:rsidRDefault="003879D6">
      <w:pPr>
        <w:spacing w:after="158" w:line="259" w:lineRule="auto"/>
        <w:ind w:left="0" w:firstLine="0"/>
        <w:jc w:val="left"/>
      </w:pPr>
    </w:p>
    <w:p w14:paraId="36D1D5F5" w14:textId="1156FA7A" w:rsidR="003879D6" w:rsidRDefault="003879D6">
      <w:pPr>
        <w:spacing w:after="0" w:line="259" w:lineRule="auto"/>
        <w:ind w:left="0" w:firstLine="0"/>
        <w:jc w:val="left"/>
      </w:pPr>
    </w:p>
    <w:sectPr w:rsidR="003879D6">
      <w:pgSz w:w="11906" w:h="16838"/>
      <w:pgMar w:top="1459" w:right="1412" w:bottom="153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92BD5"/>
    <w:multiLevelType w:val="hybridMultilevel"/>
    <w:tmpl w:val="8498257C"/>
    <w:lvl w:ilvl="0" w:tplc="72886E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DE9DA8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DA29AC">
      <w:start w:val="1"/>
      <w:numFmt w:val="bullet"/>
      <w:lvlRestart w:val="0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1240A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D212F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CE88F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FE76F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E6E26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28E43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9205B8"/>
    <w:multiLevelType w:val="hybridMultilevel"/>
    <w:tmpl w:val="3160871A"/>
    <w:lvl w:ilvl="0" w:tplc="9946AD2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EE13D6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E47670">
      <w:start w:val="1"/>
      <w:numFmt w:val="lowerLetter"/>
      <w:lvlRestart w:val="0"/>
      <w:lvlText w:val="%3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A4F5A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622D5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FAA01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6EC02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8C7BA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96FED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2A0059"/>
    <w:multiLevelType w:val="hybridMultilevel"/>
    <w:tmpl w:val="F044FC1A"/>
    <w:lvl w:ilvl="0" w:tplc="1F8A7A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207388">
      <w:start w:val="1"/>
      <w:numFmt w:val="bullet"/>
      <w:lvlText w:val="o"/>
      <w:lvlJc w:val="left"/>
      <w:pPr>
        <w:ind w:left="8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E85A68">
      <w:start w:val="1"/>
      <w:numFmt w:val="bullet"/>
      <w:lvlRestart w:val="0"/>
      <w:lvlText w:val="•"/>
      <w:lvlJc w:val="left"/>
      <w:pPr>
        <w:ind w:left="1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52E2B4">
      <w:start w:val="1"/>
      <w:numFmt w:val="bullet"/>
      <w:lvlText w:val="•"/>
      <w:lvlJc w:val="left"/>
      <w:pPr>
        <w:ind w:left="2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F05A86">
      <w:start w:val="1"/>
      <w:numFmt w:val="bullet"/>
      <w:lvlText w:val="o"/>
      <w:lvlJc w:val="left"/>
      <w:pPr>
        <w:ind w:left="2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805816">
      <w:start w:val="1"/>
      <w:numFmt w:val="bullet"/>
      <w:lvlText w:val="▪"/>
      <w:lvlJc w:val="left"/>
      <w:pPr>
        <w:ind w:left="3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98DF22">
      <w:start w:val="1"/>
      <w:numFmt w:val="bullet"/>
      <w:lvlText w:val="•"/>
      <w:lvlJc w:val="left"/>
      <w:pPr>
        <w:ind w:left="4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2C3C72">
      <w:start w:val="1"/>
      <w:numFmt w:val="bullet"/>
      <w:lvlText w:val="o"/>
      <w:lvlJc w:val="left"/>
      <w:pPr>
        <w:ind w:left="5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DE27CA">
      <w:start w:val="1"/>
      <w:numFmt w:val="bullet"/>
      <w:lvlText w:val="▪"/>
      <w:lvlJc w:val="left"/>
      <w:pPr>
        <w:ind w:left="5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A00F49"/>
    <w:multiLevelType w:val="hybridMultilevel"/>
    <w:tmpl w:val="328CAB2A"/>
    <w:lvl w:ilvl="0" w:tplc="DC2AC96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60B4D2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DA4054">
      <w:start w:val="1"/>
      <w:numFmt w:val="bullet"/>
      <w:lvlText w:val="•"/>
      <w:lvlJc w:val="left"/>
      <w:pPr>
        <w:ind w:left="1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4C7AC2">
      <w:start w:val="1"/>
      <w:numFmt w:val="bullet"/>
      <w:lvlText w:val="•"/>
      <w:lvlJc w:val="left"/>
      <w:pPr>
        <w:ind w:left="2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F00D24">
      <w:start w:val="1"/>
      <w:numFmt w:val="bullet"/>
      <w:lvlText w:val="o"/>
      <w:lvlJc w:val="left"/>
      <w:pPr>
        <w:ind w:left="2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4E91DA">
      <w:start w:val="1"/>
      <w:numFmt w:val="bullet"/>
      <w:lvlText w:val="▪"/>
      <w:lvlJc w:val="left"/>
      <w:pPr>
        <w:ind w:left="3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C8FD32">
      <w:start w:val="1"/>
      <w:numFmt w:val="bullet"/>
      <w:lvlText w:val="•"/>
      <w:lvlJc w:val="left"/>
      <w:pPr>
        <w:ind w:left="4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643942">
      <w:start w:val="1"/>
      <w:numFmt w:val="bullet"/>
      <w:lvlText w:val="o"/>
      <w:lvlJc w:val="left"/>
      <w:pPr>
        <w:ind w:left="5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44DE7E">
      <w:start w:val="1"/>
      <w:numFmt w:val="bullet"/>
      <w:lvlText w:val="▪"/>
      <w:lvlJc w:val="left"/>
      <w:pPr>
        <w:ind w:left="5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D6"/>
    <w:rsid w:val="000D2461"/>
    <w:rsid w:val="0026395C"/>
    <w:rsid w:val="00291CA9"/>
    <w:rsid w:val="002F360A"/>
    <w:rsid w:val="003879D6"/>
    <w:rsid w:val="00583C7A"/>
    <w:rsid w:val="008A257D"/>
    <w:rsid w:val="00A256B1"/>
    <w:rsid w:val="00B9375A"/>
    <w:rsid w:val="00BA0E1D"/>
    <w:rsid w:val="00C608FC"/>
    <w:rsid w:val="00D17D94"/>
    <w:rsid w:val="00EA1D49"/>
    <w:rsid w:val="00EB3B01"/>
    <w:rsid w:val="00EE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4B9C"/>
  <w15:docId w15:val="{E32AEBF6-E448-4AD1-8F15-43C3F029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3" w:line="258" w:lineRule="auto"/>
      <w:ind w:left="370" w:hanging="10"/>
      <w:jc w:val="both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3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B0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Agnieszka Malinowska</cp:lastModifiedBy>
  <cp:revision>6</cp:revision>
  <cp:lastPrinted>2024-11-05T10:37:00Z</cp:lastPrinted>
  <dcterms:created xsi:type="dcterms:W3CDTF">2024-10-29T14:21:00Z</dcterms:created>
  <dcterms:modified xsi:type="dcterms:W3CDTF">2024-11-08T14:10:00Z</dcterms:modified>
  <cp:category/>
</cp:coreProperties>
</file>