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E2F14" w14:textId="2767649B" w:rsidR="00CC5AAE" w:rsidRDefault="00CC5AAE" w:rsidP="00CC5AAE">
      <w:pPr>
        <w:spacing w:line="240" w:lineRule="auto"/>
        <w:jc w:val="right"/>
      </w:pPr>
      <w:r w:rsidRPr="002C0E0C">
        <w:t>Załącznik nr 1 – Sz</w:t>
      </w:r>
      <w:r>
        <w:t>czegółowy opis przedmiotu Umowy</w:t>
      </w:r>
    </w:p>
    <w:p w14:paraId="448B4A7A" w14:textId="2EB4FEB1" w:rsidR="00CC5AAE" w:rsidRDefault="00CC5AAE" w:rsidP="00CC5AAE">
      <w:pPr>
        <w:spacing w:line="240" w:lineRule="auto"/>
        <w:jc w:val="right"/>
      </w:pPr>
    </w:p>
    <w:p w14:paraId="709B9401" w14:textId="77777777" w:rsidR="00CC5AAE" w:rsidRDefault="00CC5AAE" w:rsidP="00CC5AAE">
      <w:pPr>
        <w:spacing w:line="240" w:lineRule="auto"/>
        <w:jc w:val="right"/>
      </w:pPr>
    </w:p>
    <w:p w14:paraId="71888934" w14:textId="2444FDBE" w:rsidR="00CC5AAE" w:rsidRPr="00CC5AAE" w:rsidRDefault="00FC7A2D" w:rsidP="00CC5AAE">
      <w:pPr>
        <w:pStyle w:val="Akapitzlist"/>
        <w:numPr>
          <w:ilvl w:val="0"/>
          <w:numId w:val="11"/>
        </w:numPr>
        <w:spacing w:line="240" w:lineRule="auto"/>
      </w:pPr>
      <w:r w:rsidRPr="00CC5AAE">
        <w:t>P</w:t>
      </w:r>
      <w:r w:rsidR="00CC5AAE">
        <w:t>rzedmiot zamówienia:</w:t>
      </w:r>
    </w:p>
    <w:p w14:paraId="78EA9C3A" w14:textId="30D390C1" w:rsidR="00FC7A2D" w:rsidRDefault="00FC7A2D" w:rsidP="00CC5AAE">
      <w:pPr>
        <w:pStyle w:val="Akapitzlist"/>
        <w:numPr>
          <w:ilvl w:val="0"/>
          <w:numId w:val="12"/>
        </w:numPr>
        <w:spacing w:line="240" w:lineRule="auto"/>
      </w:pPr>
      <w:r w:rsidRPr="00CC5AAE">
        <w:t>Przedmiotem zamówienia jest wykonanie porządkowania</w:t>
      </w:r>
      <w:r w:rsidR="00142492" w:rsidRPr="00CC5AAE">
        <w:t xml:space="preserve"> </w:t>
      </w:r>
      <w:r w:rsidR="001A7DD3">
        <w:t xml:space="preserve">do </w:t>
      </w:r>
      <w:r w:rsidR="00142492" w:rsidRPr="00CC5AAE">
        <w:t>220 metrów bieżących</w:t>
      </w:r>
      <w:r w:rsidRPr="00CC5AAE">
        <w:t xml:space="preserve"> akt </w:t>
      </w:r>
      <w:r w:rsidR="00806EF5" w:rsidRPr="00CC5AAE">
        <w:t>orzeczniczych</w:t>
      </w:r>
      <w:r w:rsidRPr="00CC5AAE">
        <w:t xml:space="preserve"> </w:t>
      </w:r>
      <w:r w:rsidR="00142492" w:rsidRPr="00CC5AAE">
        <w:t>PZON w </w:t>
      </w:r>
      <w:r w:rsidRPr="00CC5AAE">
        <w:t>Świdnicy</w:t>
      </w:r>
      <w:r w:rsidR="00142492" w:rsidRPr="00CC5AAE">
        <w:t xml:space="preserve"> poprzez przygotowanie ich do archiwizacji</w:t>
      </w:r>
      <w:r w:rsidRPr="00CC5AAE">
        <w:t>.</w:t>
      </w:r>
    </w:p>
    <w:p w14:paraId="5B7865E3" w14:textId="3C4FF9A7" w:rsidR="00FC7A2D" w:rsidRDefault="00FC7A2D" w:rsidP="00CC5AAE">
      <w:pPr>
        <w:pStyle w:val="Akapitzlist"/>
        <w:numPr>
          <w:ilvl w:val="0"/>
          <w:numId w:val="12"/>
        </w:numPr>
        <w:spacing w:line="240" w:lineRule="auto"/>
      </w:pPr>
      <w:r w:rsidRPr="00CC5AAE">
        <w:t xml:space="preserve">Prace porządkowania </w:t>
      </w:r>
      <w:r w:rsidR="00806EF5" w:rsidRPr="00CC5AAE">
        <w:t>akt</w:t>
      </w:r>
      <w:r w:rsidRPr="00CC5AAE">
        <w:t xml:space="preserve"> realizowane będą zgodnie z wytycznymi opracowanymi przez PZON w Świdnicy.</w:t>
      </w:r>
    </w:p>
    <w:p w14:paraId="14A2478D" w14:textId="77777777" w:rsidR="00CC5AAE" w:rsidRDefault="00FC7A2D" w:rsidP="00CC5AAE">
      <w:pPr>
        <w:pStyle w:val="Akapitzlist"/>
        <w:numPr>
          <w:ilvl w:val="0"/>
          <w:numId w:val="12"/>
        </w:numPr>
        <w:spacing w:line="240" w:lineRule="auto"/>
      </w:pPr>
      <w:r w:rsidRPr="00CC5AAE">
        <w:t>Zakres prac do wykonania obejmuj</w:t>
      </w:r>
      <w:r w:rsidR="00CC5AAE">
        <w:t>e</w:t>
      </w:r>
      <w:r w:rsidRPr="00CC5AAE">
        <w:t>:</w:t>
      </w:r>
    </w:p>
    <w:p w14:paraId="153D9198" w14:textId="77777777" w:rsidR="00CC5AAE" w:rsidRDefault="00FC7A2D" w:rsidP="00CC5AAE">
      <w:pPr>
        <w:pStyle w:val="Akapitzlist"/>
        <w:spacing w:line="240" w:lineRule="auto"/>
        <w:ind w:firstLine="0"/>
      </w:pPr>
      <w:r w:rsidRPr="00CC5AAE">
        <w:t xml:space="preserve">- pełny zakres prac porządkowania akt </w:t>
      </w:r>
      <w:r w:rsidR="00806EF5" w:rsidRPr="00CC5AAE">
        <w:t>orzeczniczych</w:t>
      </w:r>
      <w:r w:rsidRPr="00CC5AAE">
        <w:t xml:space="preserve"> PZON w Świdnicy</w:t>
      </w:r>
      <w:r w:rsidR="005A458D" w:rsidRPr="00CC5AAE">
        <w:t xml:space="preserve"> jako jeden zespół archiwalny,</w:t>
      </w:r>
    </w:p>
    <w:p w14:paraId="7F0F6797" w14:textId="77777777" w:rsidR="00CC5AAE" w:rsidRDefault="00FC7A2D" w:rsidP="00CC5AAE">
      <w:pPr>
        <w:pStyle w:val="Akapitzlist"/>
        <w:spacing w:line="240" w:lineRule="auto"/>
        <w:ind w:firstLine="0"/>
      </w:pPr>
      <w:r w:rsidRPr="00CC5AAE">
        <w:t xml:space="preserve">- pełny zakres prac </w:t>
      </w:r>
      <w:r w:rsidR="005A458D" w:rsidRPr="00CC5AAE">
        <w:t>archiwizacyjnych</w:t>
      </w:r>
      <w:r w:rsidRPr="00CC5AAE">
        <w:t xml:space="preserve"> akt </w:t>
      </w:r>
      <w:r w:rsidR="00142492" w:rsidRPr="00CC5AAE">
        <w:t>orzeczniczych</w:t>
      </w:r>
      <w:r w:rsidRPr="00CC5AAE">
        <w:t xml:space="preserve"> PZON w Świdnicy</w:t>
      </w:r>
      <w:r w:rsidR="005A458D" w:rsidRPr="00CC5AAE">
        <w:t xml:space="preserve"> jako drugi zespół archiwalny,</w:t>
      </w:r>
    </w:p>
    <w:p w14:paraId="024C53F5" w14:textId="4AE1FC03" w:rsidR="005A458D" w:rsidRDefault="005A458D" w:rsidP="00CC5AAE">
      <w:pPr>
        <w:pStyle w:val="Akapitzlist"/>
        <w:spacing w:line="240" w:lineRule="auto"/>
        <w:ind w:firstLine="0"/>
      </w:pPr>
      <w:r w:rsidRPr="00CC5AAE">
        <w:t>- digitalizację orzeczeń</w:t>
      </w:r>
      <w:r w:rsidR="00E30BE8">
        <w:t xml:space="preserve"> o niepełnosprawności oraz stopniu niepełnosprawności</w:t>
      </w:r>
      <w:r w:rsidRPr="00CC5AAE">
        <w:t xml:space="preserve"> </w:t>
      </w:r>
      <w:r w:rsidR="00EA51A6" w:rsidRPr="00CC5AAE">
        <w:t xml:space="preserve">(na 1 metr bieżący akt przypada </w:t>
      </w:r>
      <w:r w:rsidR="00CE1B0D" w:rsidRPr="00CC5AAE">
        <w:t>średnio</w:t>
      </w:r>
      <w:r w:rsidR="00EA51A6" w:rsidRPr="00CC5AAE">
        <w:t xml:space="preserve"> 3</w:t>
      </w:r>
      <w:r w:rsidR="004161CD" w:rsidRPr="00CC5AAE">
        <w:t>00</w:t>
      </w:r>
      <w:r w:rsidR="00EA51A6" w:rsidRPr="00CC5AAE">
        <w:t xml:space="preserve"> orzeczeń</w:t>
      </w:r>
      <w:r w:rsidR="00601062" w:rsidRPr="00CC5AAE">
        <w:t xml:space="preserve"> tj. 3</w:t>
      </w:r>
      <w:r w:rsidR="004161CD" w:rsidRPr="00CC5AAE">
        <w:t>00</w:t>
      </w:r>
      <w:r w:rsidR="00CC5AAE">
        <w:t xml:space="preserve"> </w:t>
      </w:r>
      <w:r w:rsidR="00CE1B0D" w:rsidRPr="00CC5AAE">
        <w:t xml:space="preserve">dwustronnych </w:t>
      </w:r>
      <w:r w:rsidR="00601062" w:rsidRPr="00CC5AAE">
        <w:t>kartek A4</w:t>
      </w:r>
      <w:r w:rsidR="00EA51A6" w:rsidRPr="00CC5AAE">
        <w:t>)</w:t>
      </w:r>
      <w:r w:rsidRPr="00CC5AAE">
        <w:t xml:space="preserve"> znajdujących się w aktach spraw osób objętych orzecznictwem </w:t>
      </w:r>
      <w:r w:rsidR="00142492" w:rsidRPr="00CC5AAE">
        <w:t>oraz stworzenie bazy danych tych orzeczeń w sposób chronologiczny oraz łatwy do wyszukania</w:t>
      </w:r>
      <w:r w:rsidR="00E30BE8">
        <w:t xml:space="preserve">. Dotyczy orzeczeń wydanych przez Powiatowe/Miejskie/Wojewódzkie Zespoły do Spraw Orzekania o Niepełnosprawności lub Stopniu Niepełnosprawności oraz Wyroków Sądów Pracy i Ubezpieczeń Społecznych w zakresie orzekania o niepełnosprawności oraz </w:t>
      </w:r>
      <w:bookmarkStart w:id="0" w:name="_GoBack"/>
      <w:bookmarkEnd w:id="0"/>
      <w:r w:rsidR="00E30BE8">
        <w:t>stopniu niepełnosprawności;</w:t>
      </w:r>
    </w:p>
    <w:p w14:paraId="453D990C" w14:textId="77980E5F" w:rsidR="005A458D" w:rsidRPr="00CC5AAE" w:rsidRDefault="005A458D" w:rsidP="00CC5AAE">
      <w:pPr>
        <w:spacing w:line="240" w:lineRule="auto"/>
      </w:pPr>
      <w:r w:rsidRPr="00CC5AAE">
        <w:t>- przygotowanie spisów zdawczo-odbiorczych wszystkich zespołów archiwalnych</w:t>
      </w:r>
      <w:r w:rsidR="00CC5AAE">
        <w:t>.</w:t>
      </w:r>
    </w:p>
    <w:p w14:paraId="6725404B" w14:textId="77777777" w:rsidR="005A458D" w:rsidRPr="00CC5AAE" w:rsidRDefault="005A458D" w:rsidP="00CC5AAE">
      <w:pPr>
        <w:spacing w:line="240" w:lineRule="auto"/>
      </w:pPr>
    </w:p>
    <w:p w14:paraId="2700AA4F" w14:textId="77777777" w:rsidR="00CC5AAE" w:rsidRDefault="005A458D" w:rsidP="00CC5AAE">
      <w:pPr>
        <w:pStyle w:val="Akapitzlist"/>
        <w:numPr>
          <w:ilvl w:val="0"/>
          <w:numId w:val="11"/>
        </w:numPr>
        <w:spacing w:line="240" w:lineRule="auto"/>
      </w:pPr>
      <w:r w:rsidRPr="00CC5AAE">
        <w:t>Opis prac:</w:t>
      </w:r>
    </w:p>
    <w:p w14:paraId="4307C539" w14:textId="77777777" w:rsidR="00CC5AAE" w:rsidRDefault="005A458D" w:rsidP="00CC5AAE">
      <w:pPr>
        <w:pStyle w:val="Akapitzlist"/>
        <w:numPr>
          <w:ilvl w:val="0"/>
          <w:numId w:val="3"/>
        </w:numPr>
        <w:spacing w:line="240" w:lineRule="auto"/>
      </w:pPr>
      <w:r w:rsidRPr="00CC5AAE">
        <w:t>ułożeni</w:t>
      </w:r>
      <w:r w:rsidR="00CC5AAE">
        <w:t>e</w:t>
      </w:r>
      <w:r w:rsidRPr="00CC5AAE">
        <w:t xml:space="preserve"> dokumentów</w:t>
      </w:r>
      <w:r w:rsidR="00DE197A" w:rsidRPr="00CC5AAE">
        <w:t xml:space="preserve"> wewnątrz teczki chronologiczn</w:t>
      </w:r>
      <w:r w:rsidR="00142492" w:rsidRPr="00CC5AAE">
        <w:t>i</w:t>
      </w:r>
      <w:r w:rsidR="003A02F9" w:rsidRPr="00CC5AAE">
        <w:t xml:space="preserve">e w obrębie </w:t>
      </w:r>
      <w:r w:rsidR="00DE197A" w:rsidRPr="00CC5AAE">
        <w:t>znaku sprawy postępowania orzeczniczego, w przypadku gdy w teczce znajduje się więcej niż jedno postępowan</w:t>
      </w:r>
      <w:r w:rsidR="003A02F9" w:rsidRPr="00CC5AAE">
        <w:t>ie, w kolejności narastającej (</w:t>
      </w:r>
      <w:r w:rsidR="00DE197A" w:rsidRPr="00CC5AAE">
        <w:t>nr 1 na wierzchu, kolejne sprawy pod spodem)</w:t>
      </w:r>
      <w:r w:rsidR="000C0F4E" w:rsidRPr="00CC5AAE">
        <w:t>, przy czym poszczególne sprawy można r</w:t>
      </w:r>
      <w:r w:rsidR="00CD5E97" w:rsidRPr="00CC5AAE">
        <w:t>ozdzielić papierowymi okładkami,</w:t>
      </w:r>
    </w:p>
    <w:p w14:paraId="10034324" w14:textId="52D3B3FC" w:rsidR="00257977" w:rsidRPr="00CC5AAE" w:rsidRDefault="00DE197A" w:rsidP="00CC5AAE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ind w:left="851" w:hanging="284"/>
      </w:pPr>
      <w:r w:rsidRPr="00CC5AAE">
        <w:t xml:space="preserve">jeśli wśród spraw znajduje się postępowanie z </w:t>
      </w:r>
      <w:r w:rsidR="00142492" w:rsidRPr="00CC5AAE">
        <w:t>lat</w:t>
      </w:r>
      <w:r w:rsidRPr="00CC5AAE">
        <w:t xml:space="preserve"> 2020</w:t>
      </w:r>
      <w:r w:rsidR="00142492" w:rsidRPr="00CC5AAE">
        <w:t>-2018</w:t>
      </w:r>
      <w:r w:rsidRPr="00CC5AAE">
        <w:t>, należy wydzielić do</w:t>
      </w:r>
      <w:r w:rsidR="00CC5AAE">
        <w:t xml:space="preserve"> </w:t>
      </w:r>
      <w:r w:rsidRPr="00CC5AAE">
        <w:t>osobnej teczki</w:t>
      </w:r>
      <w:r w:rsidR="005A458D" w:rsidRPr="00CC5AAE">
        <w:t xml:space="preserve"> jako sprawę niezakończoną </w:t>
      </w:r>
      <w:r w:rsidRPr="00CC5AAE">
        <w:t xml:space="preserve">i ująć w oddzielnym spisie zdawczo-odbiorczym, dotyczącym </w:t>
      </w:r>
      <w:r w:rsidR="00142492" w:rsidRPr="00CC5AAE">
        <w:t>lat</w:t>
      </w:r>
      <w:r w:rsidRPr="00CC5AAE">
        <w:t xml:space="preserve"> 2020</w:t>
      </w:r>
      <w:r w:rsidR="00142492" w:rsidRPr="00CC5AAE">
        <w:t>-2018</w:t>
      </w:r>
      <w:r w:rsidRPr="00CC5AAE">
        <w:t>,</w:t>
      </w:r>
    </w:p>
    <w:p w14:paraId="68338701" w14:textId="77777777" w:rsidR="000C0F4E" w:rsidRPr="00CC5AAE" w:rsidRDefault="00CD5E97" w:rsidP="00CC5AAE">
      <w:pPr>
        <w:pStyle w:val="Rozp2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wyłączenie z dokumentacji</w:t>
      </w:r>
      <w:r w:rsidR="000C0F4E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zbędnych identycznych kopii tych samych przesyłek lub pism,</w:t>
      </w:r>
    </w:p>
    <w:p w14:paraId="1BCF23C8" w14:textId="77777777" w:rsidR="000C0F4E" w:rsidRPr="00CC5AAE" w:rsidRDefault="00CD5E97" w:rsidP="00CC5AAE">
      <w:pPr>
        <w:pStyle w:val="Rozp2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usunięcie</w:t>
      </w:r>
      <w:r w:rsidR="000C0F4E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dokumentacji części metalowych i plastikowych (na przykład spinaczy, zszywek, wąsów, koszulek),</w:t>
      </w:r>
    </w:p>
    <w:p w14:paraId="749C7124" w14:textId="77777777" w:rsidR="000C0F4E" w:rsidRPr="00CC5AAE" w:rsidRDefault="00CD5E97" w:rsidP="00CC5AAE">
      <w:pPr>
        <w:pStyle w:val="Rozp2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umieszczenie</w:t>
      </w:r>
      <w:r w:rsidR="000C0F4E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dokumentacji w wiązanych teczkach aktowych z tektury bezkwa</w:t>
      </w:r>
      <w:r w:rsidR="000C0F4E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sowej  o grubości nieprzekraczającej 4 cm, a tych w razie potrzeby – w pudłach, przy czym jeżeli grubość teczki przekracza 4 cm, należy teczkę podzielić na tomy, chyba że jest to niemożliwe z przyczyn fizycznych,</w:t>
      </w:r>
    </w:p>
    <w:p w14:paraId="30AD68D7" w14:textId="77777777" w:rsidR="000C0F4E" w:rsidRPr="00CC5AAE" w:rsidRDefault="000C0F4E" w:rsidP="00CC5AAE">
      <w:pPr>
        <w:pStyle w:val="Rozp2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D5E97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ponumerowanie</w:t>
      </w: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stron materiałów archiwalnych zwykłym miękkim ołówkiem, przez naniesienie numeru strony w prawym górnym rogu; liczbę stron w danej teczce podaje się na wewnętrznej części tylnej okładki w formie zapisu: „Niniejsza teczka zawiera ... stron kolejno ponumerowanych, [miejscowość, data, podpis osoby porządkującej i paginującej akta]”,</w:t>
      </w:r>
    </w:p>
    <w:p w14:paraId="079BD634" w14:textId="51D3BB1B" w:rsidR="000C0F4E" w:rsidRPr="00CC5AAE" w:rsidRDefault="00CD5E97" w:rsidP="00CC5AAE">
      <w:pPr>
        <w:pStyle w:val="Rozp2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opisanie</w:t>
      </w:r>
      <w:r w:rsidR="000C0F4E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teczek aktowych zgodnie z </w:t>
      </w:r>
      <w:r w:rsidR="00DC6F2A">
        <w:rPr>
          <w:rFonts w:ascii="Times New Roman" w:eastAsiaTheme="minorHAnsi" w:hAnsi="Times New Roman" w:cs="Times New Roman"/>
          <w:sz w:val="24"/>
          <w:szCs w:val="24"/>
          <w:lang w:eastAsia="en-US"/>
        </w:rPr>
        <w:t>wytycznymi Zamawiającego określonymi                             w ust. 3</w:t>
      </w:r>
      <w:r w:rsidR="000C0F4E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0075310E" w14:textId="77777777" w:rsidR="000C0F4E" w:rsidRPr="00CC5AAE" w:rsidRDefault="000C0F4E" w:rsidP="00CC5AAE">
      <w:pPr>
        <w:pStyle w:val="Rozp2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ułożeniu teczek aktowych w układzie alfabetycznym</w:t>
      </w:r>
      <w:r w:rsidR="003A02F9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2AE7A75A" w14:textId="77777777" w:rsidR="005A458D" w:rsidRPr="00CC5AAE" w:rsidRDefault="005A458D" w:rsidP="00CC5AAE">
      <w:pPr>
        <w:pStyle w:val="Rozp2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digitalizacja orzeczeń wydanych przez PZON w Świdnicy</w:t>
      </w:r>
      <w:r w:rsidR="00720456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innych zespołów orzeczniczych z wyłączeniem orzeczeń ZUS, KRUS </w:t>
      </w:r>
      <w:r w:rsidR="00EA51A6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oraz innych </w:t>
      </w:r>
      <w:r w:rsidR="00720456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resortowych i</w:t>
      </w:r>
      <w:r w:rsidR="003A02F9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ich</w:t>
      </w:r>
      <w:r w:rsidR="00720456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uporządkowanie chronologiczne w układzie alfabetycznym;</w:t>
      </w:r>
    </w:p>
    <w:p w14:paraId="140BE331" w14:textId="1EC5EDE5" w:rsidR="00F12452" w:rsidRDefault="00EA51A6" w:rsidP="00CC5AAE">
      <w:pPr>
        <w:pStyle w:val="Rozp2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stworzenie bazy danych </w:t>
      </w:r>
      <w:proofErr w:type="spellStart"/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zdigitalizowanych</w:t>
      </w:r>
      <w:proofErr w:type="spellEnd"/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orzeczeń </w:t>
      </w:r>
      <w:r w:rsidR="0003520E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w taki sposób, iż każda osoba</w:t>
      </w:r>
      <w:r w:rsidR="00F12452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orzekana </w:t>
      </w:r>
      <w:r w:rsidR="00F12452" w:rsidRPr="00384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będzie </w:t>
      </w:r>
      <w:r w:rsidR="003A02F9" w:rsidRPr="003840CB">
        <w:rPr>
          <w:rFonts w:ascii="Times New Roman" w:eastAsiaTheme="minorHAnsi" w:hAnsi="Times New Roman" w:cs="Times New Roman"/>
          <w:sz w:val="24"/>
          <w:szCs w:val="24"/>
          <w:lang w:eastAsia="en-US"/>
        </w:rPr>
        <w:t>ujęta w odrębnej zakładce</w:t>
      </w:r>
      <w:r w:rsidR="00F12452" w:rsidRPr="00384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A02F9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w której</w:t>
      </w:r>
      <w:r w:rsidR="00F12452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znajdować się będą </w:t>
      </w:r>
      <w:r w:rsidR="00F12452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chronologicznie ułożone (od najnowszego do najstarszego) </w:t>
      </w:r>
      <w:proofErr w:type="spellStart"/>
      <w:r w:rsidR="00F12452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zdigitalizowane</w:t>
      </w:r>
      <w:proofErr w:type="spellEnd"/>
      <w:r w:rsidR="00F12452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orzeczenia; możliwość przeszukiwania bazy </w:t>
      </w:r>
      <w:r w:rsidR="00B848C1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danych </w:t>
      </w:r>
      <w:r w:rsidR="00F12452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 rekordach </w:t>
      </w:r>
      <w:r w:rsidR="002D3E99">
        <w:rPr>
          <w:rFonts w:ascii="Times New Roman" w:eastAsiaTheme="minorHAnsi" w:hAnsi="Times New Roman" w:cs="Times New Roman"/>
          <w:sz w:val="24"/>
          <w:szCs w:val="24"/>
          <w:lang w:eastAsia="en-US"/>
        </w:rPr>
        <w:t>minimum</w:t>
      </w:r>
      <w:r w:rsidR="00F12452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 </w:t>
      </w:r>
      <w:r w:rsidR="002D3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 w:rsidR="00F12452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nr PESEL, nazwisku,</w:t>
      </w:r>
    </w:p>
    <w:p w14:paraId="2E611B3A" w14:textId="0CBD5DA8" w:rsidR="003840CB" w:rsidRPr="00032C68" w:rsidRDefault="00032C68" w:rsidP="00CC5AAE">
      <w:pPr>
        <w:pStyle w:val="Rozp2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0748E4"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/w baza danych może zostać sporządzona w programie powszechnie dostępnym. Musi umożliwiać w przyszłości Zamawiającemu dodawanie nowych orzeczeń, edytowanie oraz usuwanie już stworzonych, po </w:t>
      </w:r>
      <w:r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wykonaniu niniejszego zamówienia</w:t>
      </w:r>
      <w:r w:rsidR="000748E4"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Dostęp do bazy programu powinien umożliwiać jednoczesne korzystanie wielu użytkowników </w:t>
      </w:r>
      <w:r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>poprzez sieć</w:t>
      </w:r>
      <w:r w:rsidR="000748E4"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lokalną. </w:t>
      </w:r>
      <w:r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>Program</w:t>
      </w:r>
      <w:r w:rsidR="0001717E"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musi </w:t>
      </w:r>
      <w:r w:rsidR="000748E4"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>wymagać</w:t>
      </w:r>
      <w:r w:rsidR="0001717E"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podania nazwy użytkownika i hasła</w:t>
      </w:r>
      <w:r w:rsidR="000748E4"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1717E"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aby uniemożliwić </w:t>
      </w:r>
      <w:r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>dostęp</w:t>
      </w:r>
      <w:r w:rsidR="000748E4"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1717E"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>osobom nieupoważnionym</w:t>
      </w:r>
      <w:r w:rsidR="000748E4" w:rsidRPr="00032C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7179652" w14:textId="1B41EBC0" w:rsidR="00720456" w:rsidRDefault="003A02F9" w:rsidP="00CC5AAE">
      <w:pPr>
        <w:pStyle w:val="Rozp2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720456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operty, w których przechowywano akta należy umie</w:t>
      </w:r>
      <w:r w:rsidR="00B848C1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ścić w teczce po </w:t>
      </w:r>
      <w:r w:rsidR="00B848C1" w:rsidRPr="00083B9D">
        <w:rPr>
          <w:rFonts w:ascii="Times New Roman" w:eastAsiaTheme="minorHAnsi" w:hAnsi="Times New Roman" w:cs="Times New Roman"/>
          <w:sz w:val="24"/>
          <w:szCs w:val="24"/>
          <w:lang w:eastAsia="en-US"/>
        </w:rPr>
        <w:t>uporządkowaniu i przygotowaniu do archiwizacji</w:t>
      </w:r>
      <w:r w:rsidR="00720456" w:rsidRPr="00083B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jako ostatni dokument</w:t>
      </w:r>
      <w:r w:rsidR="00083B9D" w:rsidRPr="00083B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AFDE723" w14:textId="77777777" w:rsidR="0076469C" w:rsidRPr="00083B9D" w:rsidRDefault="0076469C" w:rsidP="0076469C">
      <w:pPr>
        <w:pStyle w:val="Rozp2"/>
        <w:spacing w:line="240" w:lineRule="auto"/>
        <w:ind w:left="890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304E760" w14:textId="4E5DB908" w:rsidR="00CD5E97" w:rsidRPr="00083B9D" w:rsidRDefault="00083B9D" w:rsidP="00083B9D">
      <w:pPr>
        <w:pStyle w:val="Rozp2"/>
        <w:numPr>
          <w:ilvl w:val="0"/>
          <w:numId w:val="11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3B9D">
        <w:rPr>
          <w:rFonts w:ascii="Times New Roman" w:hAnsi="Times New Roman" w:cs="Times New Roman"/>
          <w:sz w:val="24"/>
          <w:szCs w:val="24"/>
        </w:rPr>
        <w:t xml:space="preserve"> </w:t>
      </w:r>
      <w:r w:rsidR="000C0F4E" w:rsidRPr="00083B9D">
        <w:rPr>
          <w:rFonts w:ascii="Times New Roman" w:hAnsi="Times New Roman" w:cs="Times New Roman"/>
          <w:sz w:val="24"/>
          <w:szCs w:val="24"/>
        </w:rPr>
        <w:t xml:space="preserve">Opis teczek aktowych. </w:t>
      </w:r>
    </w:p>
    <w:p w14:paraId="5E2D0D43" w14:textId="77777777" w:rsidR="00187998" w:rsidRPr="00CC5AAE" w:rsidRDefault="00187998" w:rsidP="00CC5AAE">
      <w:pPr>
        <w:spacing w:line="240" w:lineRule="auto"/>
      </w:pPr>
      <w:r w:rsidRPr="00CC5AAE">
        <w:t>Na okładce teczki aktowej należy umieścić następujące elementy:</w:t>
      </w:r>
    </w:p>
    <w:p w14:paraId="0162B6CF" w14:textId="77777777" w:rsidR="00187998" w:rsidRPr="00CC5AAE" w:rsidRDefault="00187998" w:rsidP="00CC5AAE">
      <w:pPr>
        <w:pStyle w:val="Akapitzlist"/>
        <w:numPr>
          <w:ilvl w:val="0"/>
          <w:numId w:val="4"/>
        </w:numPr>
        <w:spacing w:line="240" w:lineRule="auto"/>
      </w:pPr>
      <w:r w:rsidRPr="00CC5AAE">
        <w:t xml:space="preserve">na środku u góry okładki teczki - pełną nazwę podmiotu z danymi adresowymi – czyli Powiatowy </w:t>
      </w:r>
      <w:r w:rsidR="006F2FFF" w:rsidRPr="00CC5AAE">
        <w:t>Zespół</w:t>
      </w:r>
      <w:r w:rsidRPr="00CC5AAE">
        <w:t xml:space="preserve"> ds. Orzekania o</w:t>
      </w:r>
      <w:r w:rsidR="006F2FFF" w:rsidRPr="00CC5AAE">
        <w:t xml:space="preserve"> Niepełnosprawności w Świdnicy, ul. Wałbrzyska 15; 58-100 Świdnica</w:t>
      </w:r>
      <w:r w:rsidRPr="00CC5AAE">
        <w:t>;</w:t>
      </w:r>
    </w:p>
    <w:p w14:paraId="430BD327" w14:textId="77777777" w:rsidR="00187998" w:rsidRPr="00CC5AAE" w:rsidRDefault="006F2FFF" w:rsidP="00CC5AAE">
      <w:pPr>
        <w:pStyle w:val="Akapitzlist"/>
        <w:numPr>
          <w:ilvl w:val="0"/>
          <w:numId w:val="4"/>
        </w:numPr>
        <w:spacing w:line="240" w:lineRule="auto"/>
      </w:pPr>
      <w:r w:rsidRPr="00CC5AAE">
        <w:t xml:space="preserve">poniżej przy lewym marginesie </w:t>
      </w:r>
      <w:r w:rsidR="00AA427F" w:rsidRPr="00CC5AAE">
        <w:t>część</w:t>
      </w:r>
      <w:r w:rsidR="00187998" w:rsidRPr="00CC5AAE">
        <w:t xml:space="preserve"> </w:t>
      </w:r>
      <w:r w:rsidR="00AA427F" w:rsidRPr="00CC5AAE">
        <w:t>znaku sprawy, to jest oznaczenie</w:t>
      </w:r>
      <w:r w:rsidR="00187998" w:rsidRPr="00CC5AAE">
        <w:t xml:space="preserve"> komórki organizacyjnej i symbol</w:t>
      </w:r>
      <w:r w:rsidR="00AA427F" w:rsidRPr="00CC5AAE">
        <w:t>u klasyfikacyjnego z wykazu akt</w:t>
      </w:r>
      <w:r w:rsidR="00187998" w:rsidRPr="00CC5AAE">
        <w:t>;</w:t>
      </w:r>
    </w:p>
    <w:p w14:paraId="37B0629A" w14:textId="77777777" w:rsidR="00AA427F" w:rsidRPr="00CC5AAE" w:rsidRDefault="00AA427F" w:rsidP="00CC5AAE">
      <w:pPr>
        <w:pStyle w:val="Akapitzlist"/>
        <w:numPr>
          <w:ilvl w:val="0"/>
          <w:numId w:val="4"/>
        </w:numPr>
        <w:spacing w:line="240" w:lineRule="auto"/>
      </w:pPr>
      <w:r w:rsidRPr="00CC5AAE">
        <w:t xml:space="preserve">na tej samej wysokości co część znaku sprawy przy prawym marginesie - </w:t>
      </w:r>
      <w:r w:rsidR="00187998" w:rsidRPr="00CC5AAE">
        <w:t>kategori</w:t>
      </w:r>
      <w:r w:rsidRPr="00CC5AAE">
        <w:t>a archiwalna</w:t>
      </w:r>
      <w:r w:rsidR="00187998" w:rsidRPr="00CC5AAE">
        <w:t>, a w przypadku kategorii B – również okresu przechowywania dokumentacji</w:t>
      </w:r>
      <w:r w:rsidRPr="00CC5AAE">
        <w:t>;</w:t>
      </w:r>
    </w:p>
    <w:p w14:paraId="04C36E50" w14:textId="74B02834" w:rsidR="00187998" w:rsidRPr="00CC5AAE" w:rsidRDefault="00AA427F" w:rsidP="00CC5AAE">
      <w:pPr>
        <w:pStyle w:val="Akapitzlist"/>
        <w:numPr>
          <w:ilvl w:val="0"/>
          <w:numId w:val="4"/>
        </w:numPr>
        <w:spacing w:line="240" w:lineRule="auto"/>
      </w:pPr>
      <w:r w:rsidRPr="00CC5AAE">
        <w:t xml:space="preserve">poniżej powyższych elementów, </w:t>
      </w:r>
      <w:r w:rsidR="003F313A" w:rsidRPr="00CC5AAE">
        <w:t>w środkowej</w:t>
      </w:r>
      <w:r w:rsidRPr="00CC5AAE">
        <w:t xml:space="preserve"> części teczki –</w:t>
      </w:r>
      <w:r w:rsidR="000C5A71">
        <w:t xml:space="preserve"> </w:t>
      </w:r>
      <w:r w:rsidRPr="00CC5AAE">
        <w:t>tytuł</w:t>
      </w:r>
      <w:r w:rsidR="00187998" w:rsidRPr="00CC5AAE">
        <w:t xml:space="preserve"> teczki złożonego </w:t>
      </w:r>
      <w:r w:rsidR="000C5A71">
        <w:t xml:space="preserve">                   </w:t>
      </w:r>
      <w:r w:rsidR="00187998" w:rsidRPr="00CC5AAE">
        <w:t>z pełnego hasła klasyfikacyjnego z wykazu akt i informacji o rodzaju dokumentacji występującej w teczce</w:t>
      </w:r>
      <w:r w:rsidRPr="00CC5AAE">
        <w:t xml:space="preserve">, a w szczególności: </w:t>
      </w:r>
      <w:r w:rsidR="003F313A" w:rsidRPr="00CC5AAE">
        <w:t>Nazwisko i imię osoby, której dotyczą akta, nr ewidencyjny oraz znaki spraw i daty wydania orzeczenia</w:t>
      </w:r>
      <w:r w:rsidR="00187998" w:rsidRPr="00CC5AAE">
        <w:t>;</w:t>
      </w:r>
    </w:p>
    <w:p w14:paraId="586BA7A9" w14:textId="77777777" w:rsidR="00187998" w:rsidRPr="00CC5AAE" w:rsidRDefault="003F313A" w:rsidP="00CC5AAE">
      <w:pPr>
        <w:pStyle w:val="Akapitzlist"/>
        <w:numPr>
          <w:ilvl w:val="0"/>
          <w:numId w:val="4"/>
        </w:numPr>
        <w:spacing w:line="240" w:lineRule="auto"/>
      </w:pPr>
      <w:r w:rsidRPr="00CC5AAE">
        <w:t>rok</w:t>
      </w:r>
      <w:r w:rsidR="00187998" w:rsidRPr="00CC5AAE">
        <w:t xml:space="preserve"> założenia teczki aktowej, uzupełnionego – po zakończeniu wszystkich spraw założonych w danej teczce – rokiem najpóźniejszego pisma w teczce – pod tytułem;</w:t>
      </w:r>
    </w:p>
    <w:p w14:paraId="350BEBDE" w14:textId="77777777" w:rsidR="00187998" w:rsidRDefault="00187998" w:rsidP="00CC5AAE">
      <w:pPr>
        <w:pStyle w:val="Akapitzlist"/>
        <w:numPr>
          <w:ilvl w:val="0"/>
          <w:numId w:val="4"/>
        </w:numPr>
        <w:spacing w:line="240" w:lineRule="auto"/>
      </w:pPr>
      <w:r w:rsidRPr="00CC5AAE">
        <w:t>numeru tomu, jeżeli akta spraw przyporządkowane do tego samego symbolu klasyfikacyjnego z wykazu akt w danym roku obejmują kilka teczek – pod rocznymi datami skrajnymi.</w:t>
      </w:r>
    </w:p>
    <w:p w14:paraId="16CAA51B" w14:textId="77777777" w:rsidR="009D7020" w:rsidRPr="00CC5AAE" w:rsidRDefault="009D7020" w:rsidP="009D7020">
      <w:pPr>
        <w:pStyle w:val="Akapitzlist"/>
        <w:spacing w:line="240" w:lineRule="auto"/>
        <w:ind w:firstLine="0"/>
      </w:pPr>
    </w:p>
    <w:p w14:paraId="7455BE06" w14:textId="77777777" w:rsidR="002F36D8" w:rsidRDefault="006E4159" w:rsidP="002F36D8">
      <w:pPr>
        <w:pStyle w:val="Akapitzlist"/>
        <w:numPr>
          <w:ilvl w:val="0"/>
          <w:numId w:val="11"/>
        </w:numPr>
        <w:spacing w:line="240" w:lineRule="auto"/>
      </w:pPr>
      <w:r w:rsidRPr="00CC5AAE">
        <w:t>Sporządzenie ewidencji akt w postaci spisów zdawczo-odbiorczych w układzie alfabetycznym</w:t>
      </w:r>
      <w:r w:rsidR="00FD3B64" w:rsidRPr="00CC5AAE">
        <w:t>, zawierającym:</w:t>
      </w:r>
    </w:p>
    <w:p w14:paraId="0DC09188" w14:textId="77777777" w:rsidR="002F36D8" w:rsidRDefault="00FD3B64" w:rsidP="002F36D8">
      <w:pPr>
        <w:pStyle w:val="Akapitzlist"/>
        <w:numPr>
          <w:ilvl w:val="0"/>
          <w:numId w:val="13"/>
        </w:numPr>
        <w:spacing w:line="240" w:lineRule="auto"/>
      </w:pPr>
      <w:r w:rsidRPr="002F36D8">
        <w:t>dla całego spisu:</w:t>
      </w:r>
    </w:p>
    <w:p w14:paraId="411C665C" w14:textId="68AC23B0" w:rsidR="00FD3B64" w:rsidRDefault="00FD3B64" w:rsidP="002F36D8">
      <w:pPr>
        <w:pStyle w:val="Akapitzlist"/>
        <w:numPr>
          <w:ilvl w:val="0"/>
          <w:numId w:val="14"/>
        </w:numPr>
        <w:spacing w:line="240" w:lineRule="auto"/>
      </w:pPr>
      <w:r w:rsidRPr="002F36D8">
        <w:t>nazwę podmiotu i komórki organizacyjnej przekazującej dokumentację,</w:t>
      </w:r>
    </w:p>
    <w:p w14:paraId="798FAE09" w14:textId="4B5B196B" w:rsidR="00FD3B64" w:rsidRDefault="00FD3B64" w:rsidP="002F36D8">
      <w:pPr>
        <w:pStyle w:val="Akapitzlist"/>
        <w:numPr>
          <w:ilvl w:val="0"/>
          <w:numId w:val="14"/>
        </w:numPr>
        <w:spacing w:line="240" w:lineRule="auto"/>
      </w:pPr>
      <w:r w:rsidRPr="002F36D8">
        <w:t>imię, nazwisko i podpis pracownika, który przygotował spis,</w:t>
      </w:r>
    </w:p>
    <w:p w14:paraId="18148E93" w14:textId="6A0B4DB7" w:rsidR="00FD3B64" w:rsidRDefault="00FD3B64" w:rsidP="002F36D8">
      <w:pPr>
        <w:pStyle w:val="Akapitzlist"/>
        <w:numPr>
          <w:ilvl w:val="0"/>
          <w:numId w:val="14"/>
        </w:numPr>
        <w:spacing w:line="240" w:lineRule="auto"/>
      </w:pPr>
      <w:r w:rsidRPr="002F36D8">
        <w:t>imię, nazwisko i podpis osoby reprezentującej podmiot sporządzający spis,</w:t>
      </w:r>
    </w:p>
    <w:p w14:paraId="67AE6841" w14:textId="62A8F54A" w:rsidR="00FD3B64" w:rsidRDefault="00FD3B64" w:rsidP="002F36D8">
      <w:pPr>
        <w:pStyle w:val="Akapitzlist"/>
        <w:numPr>
          <w:ilvl w:val="0"/>
          <w:numId w:val="14"/>
        </w:numPr>
        <w:spacing w:line="240" w:lineRule="auto"/>
      </w:pPr>
      <w:r w:rsidRPr="002F36D8">
        <w:t>imię, nazwisko i podpis archiwisty przyjmującego dokumentację,</w:t>
      </w:r>
    </w:p>
    <w:p w14:paraId="54E1BED2" w14:textId="77777777" w:rsidR="002F36D8" w:rsidRDefault="00FD3B64" w:rsidP="002F36D8">
      <w:pPr>
        <w:pStyle w:val="Akapitzlist"/>
        <w:numPr>
          <w:ilvl w:val="0"/>
          <w:numId w:val="14"/>
        </w:numPr>
        <w:spacing w:line="240" w:lineRule="auto"/>
      </w:pPr>
      <w:r w:rsidRPr="002F36D8">
        <w:t>datę przekazania spisu;</w:t>
      </w:r>
    </w:p>
    <w:p w14:paraId="5B060B5A" w14:textId="77777777" w:rsidR="002F36D8" w:rsidRDefault="00FD3B64" w:rsidP="002F36D8">
      <w:pPr>
        <w:spacing w:line="240" w:lineRule="auto"/>
      </w:pPr>
      <w:r w:rsidRPr="002F36D8">
        <w:t>2)</w:t>
      </w:r>
      <w:r w:rsidR="002F36D8">
        <w:t xml:space="preserve">   </w:t>
      </w:r>
      <w:r w:rsidRPr="002F36D8">
        <w:t>dla każdej pozycji spisu:</w:t>
      </w:r>
    </w:p>
    <w:p w14:paraId="4B8F16C4" w14:textId="1CD0A56C" w:rsidR="002F36D8" w:rsidRPr="00CC5AAE" w:rsidRDefault="002F36D8" w:rsidP="002F36D8">
      <w:pPr>
        <w:spacing w:line="240" w:lineRule="auto"/>
      </w:pPr>
      <w:r>
        <w:t xml:space="preserve">      </w:t>
      </w:r>
      <w:r w:rsidR="00FD3B64" w:rsidRPr="00CC5AAE">
        <w:t>a)</w:t>
      </w:r>
      <w:r w:rsidR="00FD3B64" w:rsidRPr="00CC5AAE">
        <w:tab/>
        <w:t>liczbę porządkową,</w:t>
      </w:r>
    </w:p>
    <w:p w14:paraId="66484A5B" w14:textId="77777777" w:rsidR="002F36D8" w:rsidRDefault="002F36D8" w:rsidP="002F36D8">
      <w:pPr>
        <w:pStyle w:val="Rozp2"/>
        <w:spacing w:line="240" w:lineRule="auto"/>
        <w:ind w:left="170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="00FD3B64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b)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3B64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część znaku sprawy, to jest oznaczenie komórki organizacyjnej i symbol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</w:p>
    <w:p w14:paraId="20D55885" w14:textId="62ED8F66" w:rsidR="00FD3B64" w:rsidRPr="00CC5AAE" w:rsidRDefault="002F36D8" w:rsidP="002F36D8">
      <w:pPr>
        <w:pStyle w:val="Rozp2"/>
        <w:spacing w:line="240" w:lineRule="auto"/>
        <w:ind w:left="170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="00FD3B64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klasyfikacyjny z wykazu akt,</w:t>
      </w:r>
      <w:r w:rsidR="00FD3B64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112E55C" w14:textId="77777777" w:rsidR="002F36D8" w:rsidRDefault="002F36D8" w:rsidP="002F36D8">
      <w:pPr>
        <w:pStyle w:val="Rozp2"/>
        <w:tabs>
          <w:tab w:val="clear" w:pos="510"/>
          <w:tab w:val="clear" w:pos="567"/>
          <w:tab w:val="right" w:pos="1418"/>
          <w:tab w:val="left" w:pos="1560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="00FD3B64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c)</w:t>
      </w:r>
      <w:r w:rsidR="00FD3B64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3B64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tytuł teczki złożony z pełnego hasła klasyfikacyjnego z wykazu akt i informacji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</w:p>
    <w:p w14:paraId="6A6F0250" w14:textId="56BF990F" w:rsidR="002F36D8" w:rsidRDefault="002F36D8" w:rsidP="002F36D8">
      <w:pPr>
        <w:pStyle w:val="Rozp2"/>
        <w:tabs>
          <w:tab w:val="clear" w:pos="510"/>
          <w:tab w:val="clear" w:pos="567"/>
          <w:tab w:val="right" w:pos="1418"/>
          <w:tab w:val="left" w:pos="1560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="00FD3B64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3B64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rodzaju dokumentacji: nazwisko i imię osoby, której dotyczą akta, nr </w:t>
      </w:r>
    </w:p>
    <w:p w14:paraId="33B19C1E" w14:textId="6A2319AD" w:rsidR="00FD3B64" w:rsidRPr="00CC5AAE" w:rsidRDefault="002F36D8" w:rsidP="002F36D8">
      <w:pPr>
        <w:pStyle w:val="Rozp2"/>
        <w:tabs>
          <w:tab w:val="clear" w:pos="510"/>
          <w:tab w:val="clear" w:pos="567"/>
          <w:tab w:val="right" w:pos="1418"/>
          <w:tab w:val="left" w:pos="1560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="00FD3B64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ewidencyjny oraz znaki spraw i daty wydania orzeczenia w teczce,</w:t>
      </w:r>
    </w:p>
    <w:p w14:paraId="3FBEEE69" w14:textId="235C35CE" w:rsidR="00FD3B64" w:rsidRPr="00CC5AAE" w:rsidRDefault="00FD3B64" w:rsidP="00CC5AAE">
      <w:pPr>
        <w:pStyle w:val="Rozp2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F3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d)</w:t>
      </w:r>
      <w:r w:rsidR="002F3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rok założenia teczki aktowej,</w:t>
      </w:r>
    </w:p>
    <w:p w14:paraId="730DE24D" w14:textId="551D71B6" w:rsidR="002F36D8" w:rsidRDefault="00FD3B64" w:rsidP="002F36D8">
      <w:pPr>
        <w:pStyle w:val="Rozp2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F3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e)</w:t>
      </w:r>
      <w:r w:rsidR="002F3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rok najwcześniejszego pisma w teczce, jeżeli nie jest tożsamy z rokiem </w:t>
      </w:r>
      <w:r w:rsidR="002F3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</w:p>
    <w:p w14:paraId="1ACCFEE0" w14:textId="2F9A7F96" w:rsidR="00FD3B64" w:rsidRPr="00CC5AAE" w:rsidRDefault="002F36D8" w:rsidP="002F36D8">
      <w:pPr>
        <w:pStyle w:val="Rozp2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FD3B64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założenia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3B64"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teczki aktowej,</w:t>
      </w:r>
    </w:p>
    <w:p w14:paraId="455A8ADA" w14:textId="5442BF74" w:rsidR="00FD3B64" w:rsidRPr="00CC5AAE" w:rsidRDefault="00FD3B64" w:rsidP="002F36D8">
      <w:pPr>
        <w:pStyle w:val="Rozp2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F3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f)</w:t>
      </w:r>
      <w:r w:rsidR="002F3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rok najpóźniejszego pisma w teczce,</w:t>
      </w:r>
    </w:p>
    <w:p w14:paraId="3D8D9EDE" w14:textId="739C88FC" w:rsidR="00FD3B64" w:rsidRPr="00CC5AAE" w:rsidRDefault="00FD3B64" w:rsidP="002F36D8">
      <w:pPr>
        <w:pStyle w:val="Rozp2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F3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g)</w:t>
      </w: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F3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liczbę tomów jednej teczki aktowej przekazanych w ramach danej pozycji spisu,</w:t>
      </w:r>
    </w:p>
    <w:p w14:paraId="11A474B6" w14:textId="77777777" w:rsidR="008B5C3D" w:rsidRDefault="00FD3B64" w:rsidP="008B5C3D">
      <w:pPr>
        <w:pStyle w:val="Rozp2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</w:r>
      <w:r w:rsidR="002F3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h)</w:t>
      </w:r>
      <w:r w:rsidR="002F36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5AAE">
        <w:rPr>
          <w:rFonts w:ascii="Times New Roman" w:eastAsiaTheme="minorHAnsi" w:hAnsi="Times New Roman" w:cs="Times New Roman"/>
          <w:sz w:val="24"/>
          <w:szCs w:val="24"/>
          <w:lang w:eastAsia="en-US"/>
        </w:rPr>
        <w:t>oznaczenie kategorii archiwalnej.</w:t>
      </w:r>
    </w:p>
    <w:p w14:paraId="3E12FE35" w14:textId="48F5256A" w:rsidR="008B5C3D" w:rsidRPr="008B5C3D" w:rsidRDefault="008B5C3D" w:rsidP="008B5C3D">
      <w:pPr>
        <w:pStyle w:val="Rozp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  </w:t>
      </w:r>
      <w:r w:rsidR="00720456" w:rsidRPr="00CC5AAE">
        <w:rPr>
          <w:rFonts w:ascii="Times New Roman" w:hAnsi="Times New Roman" w:cs="Times New Roman"/>
          <w:color w:val="000000"/>
          <w:sz w:val="24"/>
          <w:szCs w:val="24"/>
        </w:rPr>
        <w:t xml:space="preserve">Spis </w:t>
      </w:r>
      <w:r w:rsidR="00720456" w:rsidRPr="00AF2EF7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AF2EF7" w:rsidRPr="00AF2EF7">
        <w:rPr>
          <w:rFonts w:ascii="Times New Roman" w:hAnsi="Times New Roman" w:cs="Times New Roman"/>
          <w:sz w:val="24"/>
          <w:szCs w:val="24"/>
        </w:rPr>
        <w:t>4</w:t>
      </w:r>
      <w:r w:rsidR="00720456" w:rsidRPr="00AF2EF7">
        <w:rPr>
          <w:rFonts w:ascii="Times New Roman" w:hAnsi="Times New Roman" w:cs="Times New Roman"/>
          <w:sz w:val="24"/>
          <w:szCs w:val="24"/>
        </w:rPr>
        <w:t xml:space="preserve"> do Instrukcji Kancelaryjnej) </w:t>
      </w:r>
      <w:r w:rsidR="00720456" w:rsidRPr="00CC5AAE">
        <w:rPr>
          <w:rFonts w:ascii="Times New Roman" w:hAnsi="Times New Roman" w:cs="Times New Roman"/>
          <w:color w:val="000000"/>
          <w:sz w:val="24"/>
          <w:szCs w:val="24"/>
        </w:rPr>
        <w:t xml:space="preserve">zdawczo-odbiorczy w postaci papierowej sporządza się odrębnie dla dokumentów </w:t>
      </w:r>
      <w:r w:rsidR="0011730D" w:rsidRPr="00CC5AAE">
        <w:rPr>
          <w:rFonts w:ascii="Times New Roman" w:hAnsi="Times New Roman" w:cs="Times New Roman"/>
          <w:color w:val="000000"/>
          <w:sz w:val="24"/>
          <w:szCs w:val="24"/>
        </w:rPr>
        <w:t xml:space="preserve">opisanych powyżej zespołów </w:t>
      </w:r>
      <w:r w:rsidR="00720456" w:rsidRPr="00CC5AAE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11730D" w:rsidRPr="00CC5AAE">
        <w:rPr>
          <w:rFonts w:ascii="Times New Roman" w:hAnsi="Times New Roman" w:cs="Times New Roman"/>
          <w:color w:val="000000"/>
          <w:sz w:val="24"/>
          <w:szCs w:val="24"/>
        </w:rPr>
        <w:t>dwóch</w:t>
      </w:r>
      <w:r w:rsidR="00720456" w:rsidRPr="00CC5AAE">
        <w:rPr>
          <w:rFonts w:ascii="Times New Roman" w:hAnsi="Times New Roman" w:cs="Times New Roman"/>
          <w:color w:val="000000"/>
          <w:sz w:val="24"/>
          <w:szCs w:val="24"/>
        </w:rPr>
        <w:t xml:space="preserve"> egzemplarzach. Spis</w:t>
      </w:r>
      <w:r w:rsidR="00720456" w:rsidRPr="00CC5AAE">
        <w:rPr>
          <w:rFonts w:ascii="Times New Roman" w:hAnsi="Times New Roman" w:cs="Times New Roman"/>
          <w:sz w:val="24"/>
          <w:szCs w:val="24"/>
        </w:rPr>
        <w:t xml:space="preserve"> zdawczo-odbiorczy powinien zawierać co najmniej następujące elementy:</w:t>
      </w:r>
    </w:p>
    <w:p w14:paraId="4A5298D3" w14:textId="1C67C1C1" w:rsidR="00720456" w:rsidRPr="00CC5AAE" w:rsidRDefault="00720456" w:rsidP="008B5C3D">
      <w:pPr>
        <w:pStyle w:val="Akapitzlist"/>
        <w:numPr>
          <w:ilvl w:val="0"/>
          <w:numId w:val="15"/>
        </w:numPr>
        <w:suppressAutoHyphens/>
        <w:spacing w:line="240" w:lineRule="auto"/>
      </w:pPr>
      <w:r w:rsidRPr="00CC5AAE">
        <w:t>dla całego spisu:</w:t>
      </w:r>
    </w:p>
    <w:p w14:paraId="5DBDB788" w14:textId="77777777" w:rsidR="00720456" w:rsidRPr="00CC5AAE" w:rsidRDefault="00720456" w:rsidP="00CC5AAE">
      <w:pPr>
        <w:numPr>
          <w:ilvl w:val="0"/>
          <w:numId w:val="7"/>
        </w:numPr>
        <w:suppressAutoHyphens/>
        <w:spacing w:line="240" w:lineRule="auto"/>
        <w:ind w:left="851" w:hanging="284"/>
      </w:pPr>
      <w:r w:rsidRPr="00CC5AAE">
        <w:t>pełną nazwę jednostki i komórki organizacyjnej przekazującej dokumentację,</w:t>
      </w:r>
    </w:p>
    <w:p w14:paraId="5236D74A" w14:textId="77777777" w:rsidR="00720456" w:rsidRPr="00CC5AAE" w:rsidRDefault="00720456" w:rsidP="00CC5AAE">
      <w:pPr>
        <w:numPr>
          <w:ilvl w:val="0"/>
          <w:numId w:val="7"/>
        </w:numPr>
        <w:suppressAutoHyphens/>
        <w:spacing w:line="240" w:lineRule="auto"/>
        <w:ind w:left="851" w:hanging="284"/>
      </w:pPr>
      <w:r w:rsidRPr="00CC5AAE">
        <w:t>imię, nazwisko i podpis pracownika, który przygotował spis,</w:t>
      </w:r>
    </w:p>
    <w:p w14:paraId="1CEE0787" w14:textId="77777777" w:rsidR="00720456" w:rsidRPr="00CC5AAE" w:rsidRDefault="00720456" w:rsidP="00CC5AAE">
      <w:pPr>
        <w:numPr>
          <w:ilvl w:val="0"/>
          <w:numId w:val="7"/>
        </w:numPr>
        <w:suppressAutoHyphens/>
        <w:spacing w:line="240" w:lineRule="auto"/>
        <w:ind w:left="851" w:hanging="284"/>
      </w:pPr>
      <w:r w:rsidRPr="00CC5AAE">
        <w:t xml:space="preserve">imię, nazwisko i podpis </w:t>
      </w:r>
      <w:r w:rsidR="0011730D" w:rsidRPr="00CC5AAE">
        <w:t>osoby przejmującej</w:t>
      </w:r>
      <w:r w:rsidRPr="00CC5AAE">
        <w:t xml:space="preserve"> dokumentację,</w:t>
      </w:r>
    </w:p>
    <w:p w14:paraId="72A3911E" w14:textId="77777777" w:rsidR="00720456" w:rsidRPr="00CC5AAE" w:rsidRDefault="00720456" w:rsidP="00CC5AAE">
      <w:pPr>
        <w:numPr>
          <w:ilvl w:val="0"/>
          <w:numId w:val="7"/>
        </w:numPr>
        <w:suppressAutoHyphens/>
        <w:spacing w:after="120" w:line="240" w:lineRule="auto"/>
        <w:ind w:left="851" w:hanging="284"/>
      </w:pPr>
      <w:r w:rsidRPr="00CC5AAE">
        <w:t>datę przekazania spisu;</w:t>
      </w:r>
    </w:p>
    <w:p w14:paraId="08032C41" w14:textId="4F867C1C" w:rsidR="00720456" w:rsidRPr="00CC5AAE" w:rsidRDefault="00720456" w:rsidP="008B5C3D">
      <w:pPr>
        <w:pStyle w:val="Akapitzlist"/>
        <w:numPr>
          <w:ilvl w:val="0"/>
          <w:numId w:val="15"/>
        </w:numPr>
        <w:suppressAutoHyphens/>
        <w:spacing w:line="240" w:lineRule="auto"/>
      </w:pPr>
      <w:r w:rsidRPr="00CC5AAE">
        <w:t>dla każdej pozycji spisu:</w:t>
      </w:r>
    </w:p>
    <w:p w14:paraId="7CC572EE" w14:textId="77777777" w:rsidR="00720456" w:rsidRPr="00CC5AAE" w:rsidRDefault="00720456" w:rsidP="00CC5AAE">
      <w:pPr>
        <w:numPr>
          <w:ilvl w:val="0"/>
          <w:numId w:val="8"/>
        </w:numPr>
        <w:tabs>
          <w:tab w:val="left" w:pos="851"/>
        </w:tabs>
        <w:suppressAutoHyphens/>
        <w:spacing w:line="240" w:lineRule="auto"/>
        <w:ind w:hanging="153"/>
      </w:pPr>
      <w:r w:rsidRPr="00CC5AAE">
        <w:t>liczbę porządkową,</w:t>
      </w:r>
    </w:p>
    <w:p w14:paraId="3DD712F1" w14:textId="77777777" w:rsidR="00720456" w:rsidRPr="00CC5AAE" w:rsidRDefault="00720456" w:rsidP="00CC5AAE">
      <w:pPr>
        <w:numPr>
          <w:ilvl w:val="0"/>
          <w:numId w:val="8"/>
        </w:numPr>
        <w:tabs>
          <w:tab w:val="left" w:pos="851"/>
        </w:tabs>
        <w:suppressAutoHyphens/>
        <w:spacing w:line="240" w:lineRule="auto"/>
        <w:ind w:left="851" w:hanging="284"/>
      </w:pPr>
      <w:r w:rsidRPr="00CC5AAE">
        <w:t>część znaku sprawy, to jest oznaczenie komórki organizacyjnej i symbol klasyfikacyjny z wykazu akt, a w przypadku wydzielania określonych spraw z danej klasy w wykazie akt w osobne zbory, dodatkowo numeru sprawy, który stał się podstawą wydzielenia grupy spraw,</w:t>
      </w:r>
    </w:p>
    <w:p w14:paraId="7EFE7267" w14:textId="77777777" w:rsidR="00720456" w:rsidRPr="00CC5AAE" w:rsidRDefault="00720456" w:rsidP="00CC5AAE">
      <w:pPr>
        <w:numPr>
          <w:ilvl w:val="0"/>
          <w:numId w:val="8"/>
        </w:numPr>
        <w:tabs>
          <w:tab w:val="left" w:pos="851"/>
        </w:tabs>
        <w:suppressAutoHyphens/>
        <w:spacing w:line="240" w:lineRule="auto"/>
        <w:ind w:left="851" w:hanging="284"/>
      </w:pPr>
      <w:r w:rsidRPr="00CC5AAE">
        <w:t>tytuł teczki złożony z pełnego hasła klasyfikacyjnego z wykazu akt i informacji o rodzaju dokumentacji (na przykład pisma, faktury, wnioski, skargi, noty księgowe, umowy, opinie, notatki) występującej w teczce,</w:t>
      </w:r>
    </w:p>
    <w:p w14:paraId="0277C4DF" w14:textId="77777777" w:rsidR="00720456" w:rsidRPr="00CC5AAE" w:rsidRDefault="00720456" w:rsidP="00CC5AAE">
      <w:pPr>
        <w:numPr>
          <w:ilvl w:val="0"/>
          <w:numId w:val="8"/>
        </w:numPr>
        <w:tabs>
          <w:tab w:val="left" w:pos="851"/>
        </w:tabs>
        <w:suppressAutoHyphens/>
        <w:spacing w:line="240" w:lineRule="auto"/>
        <w:ind w:left="851" w:hanging="284"/>
      </w:pPr>
      <w:r w:rsidRPr="00CC5AAE">
        <w:t>rok założenia teczki aktowej,</w:t>
      </w:r>
    </w:p>
    <w:p w14:paraId="47C83E68" w14:textId="77777777" w:rsidR="00720456" w:rsidRPr="00CC5AAE" w:rsidRDefault="00720456" w:rsidP="00CC5AAE">
      <w:pPr>
        <w:numPr>
          <w:ilvl w:val="0"/>
          <w:numId w:val="8"/>
        </w:numPr>
        <w:tabs>
          <w:tab w:val="left" w:pos="851"/>
        </w:tabs>
        <w:suppressAutoHyphens/>
        <w:spacing w:line="240" w:lineRule="auto"/>
        <w:ind w:left="851" w:hanging="284"/>
      </w:pPr>
      <w:r w:rsidRPr="00CC5AAE">
        <w:t>rocznych dat skrajnych, na które składają się rok najwcześniejszego i najpóźniejszego pisma w teczce aktowej,</w:t>
      </w:r>
    </w:p>
    <w:p w14:paraId="680EF9BE" w14:textId="77777777" w:rsidR="00720456" w:rsidRPr="00CC5AAE" w:rsidRDefault="00720456" w:rsidP="00CC5AAE">
      <w:pPr>
        <w:numPr>
          <w:ilvl w:val="0"/>
          <w:numId w:val="8"/>
        </w:numPr>
        <w:tabs>
          <w:tab w:val="left" w:pos="851"/>
        </w:tabs>
        <w:suppressAutoHyphens/>
        <w:spacing w:line="240" w:lineRule="auto"/>
        <w:ind w:left="851" w:hanging="284"/>
      </w:pPr>
      <w:r w:rsidRPr="00CC5AAE">
        <w:t>liczbę tomów jednej teczki aktowej przekazanych w ramach danej pozycji spisu,</w:t>
      </w:r>
    </w:p>
    <w:p w14:paraId="218FD653" w14:textId="77777777" w:rsidR="00720456" w:rsidRPr="00CC5AAE" w:rsidRDefault="00720456" w:rsidP="00CC5AAE">
      <w:pPr>
        <w:numPr>
          <w:ilvl w:val="0"/>
          <w:numId w:val="8"/>
        </w:numPr>
        <w:tabs>
          <w:tab w:val="left" w:pos="851"/>
        </w:tabs>
        <w:suppressAutoHyphens/>
        <w:spacing w:after="120" w:line="240" w:lineRule="auto"/>
        <w:ind w:left="851" w:hanging="284"/>
      </w:pPr>
      <w:r w:rsidRPr="00CC5AAE">
        <w:t>oznaczenie kategorii archiwalnej.</w:t>
      </w:r>
    </w:p>
    <w:p w14:paraId="261E0200" w14:textId="472EE995" w:rsidR="002B435C" w:rsidRDefault="006D6060" w:rsidP="006D6060">
      <w:pPr>
        <w:pStyle w:val="Akapitzlist"/>
        <w:numPr>
          <w:ilvl w:val="0"/>
          <w:numId w:val="16"/>
        </w:numPr>
        <w:tabs>
          <w:tab w:val="left" w:pos="851"/>
        </w:tabs>
        <w:suppressAutoHyphens/>
        <w:spacing w:after="120" w:line="240" w:lineRule="auto"/>
        <w:ind w:hanging="578"/>
      </w:pPr>
      <w:r>
        <w:t>Organizacja współpracy:</w:t>
      </w:r>
    </w:p>
    <w:p w14:paraId="683F774A" w14:textId="1826EC80" w:rsidR="002B435C" w:rsidRDefault="0082109A" w:rsidP="006D6060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</w:pPr>
      <w:r>
        <w:t>akta orzecznicze</w:t>
      </w:r>
      <w:r w:rsidR="002B435C" w:rsidRPr="006D6060">
        <w:t xml:space="preserve"> zabierane będą w ilości </w:t>
      </w:r>
      <w:r w:rsidR="005D4E82">
        <w:t xml:space="preserve">około </w:t>
      </w:r>
      <w:r w:rsidR="002B435C" w:rsidRPr="006D6060">
        <w:t>7 metrów bieżących co dwa tygodnie z siedziby PZON</w:t>
      </w:r>
      <w:r w:rsidR="00151306">
        <w:t xml:space="preserve"> - </w:t>
      </w:r>
      <w:r w:rsidR="002B435C" w:rsidRPr="006D6060">
        <w:t>przekazywane przez wyznaczonego pracownika PZON protokolarnie, przy czym pierwszy metr zostanie zwrócony Zespołowi po tygodniu celem dokonani</w:t>
      </w:r>
      <w:r w:rsidR="00937C6C">
        <w:t>a</w:t>
      </w:r>
      <w:r w:rsidR="002B435C" w:rsidRPr="006D6060">
        <w:t xml:space="preserve"> weryfikacji poprawności wykonania usługi</w:t>
      </w:r>
      <w:r w:rsidR="006D6060">
        <w:t>,</w:t>
      </w:r>
    </w:p>
    <w:p w14:paraId="6FC24AD7" w14:textId="3225678D" w:rsidR="006D6060" w:rsidRDefault="002B435C" w:rsidP="006D6060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</w:pPr>
      <w:r w:rsidRPr="006D6060">
        <w:t xml:space="preserve">zwrot </w:t>
      </w:r>
      <w:r w:rsidR="002A234F" w:rsidRPr="006D6060">
        <w:t>akt</w:t>
      </w:r>
      <w:r w:rsidRPr="006D6060">
        <w:t xml:space="preserve"> następ</w:t>
      </w:r>
      <w:r w:rsidR="006D6060">
        <w:t>ować będzie</w:t>
      </w:r>
      <w:r w:rsidRPr="006D6060">
        <w:t xml:space="preserve"> po </w:t>
      </w:r>
      <w:r w:rsidR="0082109A">
        <w:t xml:space="preserve">ok. </w:t>
      </w:r>
      <w:r w:rsidRPr="006D6060">
        <w:t xml:space="preserve">dwóch tygodniach od dnia </w:t>
      </w:r>
      <w:r w:rsidR="002A234F" w:rsidRPr="006D6060">
        <w:t>ich odebrania</w:t>
      </w:r>
      <w:r w:rsidR="006D6060">
        <w:t>;</w:t>
      </w:r>
    </w:p>
    <w:p w14:paraId="0182C358" w14:textId="04C33733" w:rsidR="002B435C" w:rsidRPr="00964850" w:rsidRDefault="002B435C" w:rsidP="006D6060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</w:pPr>
      <w:r w:rsidRPr="00964850">
        <w:t xml:space="preserve">na każdym etapie prac wyznaczony pracownik </w:t>
      </w:r>
      <w:r w:rsidR="006D6060" w:rsidRPr="00964850">
        <w:t xml:space="preserve">Zamawiającego </w:t>
      </w:r>
      <w:r w:rsidR="00151306" w:rsidRPr="00964850">
        <w:t xml:space="preserve">może </w:t>
      </w:r>
      <w:r w:rsidRPr="00964850">
        <w:t xml:space="preserve">wyrywkowo </w:t>
      </w:r>
      <w:r w:rsidR="00151306" w:rsidRPr="00964850">
        <w:t xml:space="preserve">dokonywać </w:t>
      </w:r>
      <w:r w:rsidRPr="00964850">
        <w:t>weryfikacji poprawności wykonania usługi</w:t>
      </w:r>
      <w:r w:rsidR="006D6060" w:rsidRPr="00964850">
        <w:t>,</w:t>
      </w:r>
    </w:p>
    <w:p w14:paraId="108CB98C" w14:textId="52CED60C" w:rsidR="002B435C" w:rsidRDefault="002B435C" w:rsidP="006D6060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</w:pPr>
      <w:r w:rsidRPr="006D6060">
        <w:t xml:space="preserve">w szczególnych przypadkach </w:t>
      </w:r>
      <w:r w:rsidR="006D6060" w:rsidRPr="006D6060">
        <w:t>Z</w:t>
      </w:r>
      <w:r w:rsidR="006D6060">
        <w:t>amawiający</w:t>
      </w:r>
      <w:r w:rsidRPr="006D6060">
        <w:t xml:space="preserve"> zastrzega sobie możliwość wydania </w:t>
      </w:r>
      <w:r w:rsidR="006D6060">
        <w:t xml:space="preserve">                          </w:t>
      </w:r>
      <w:r w:rsidRPr="006D6060">
        <w:t>(i dostarczenia do siedziby Zespołu) konkretnych akt w ciągu max. 24 godzin od momentu powiadomienia wykonawcy</w:t>
      </w:r>
      <w:r w:rsidR="006D6060">
        <w:t>,</w:t>
      </w:r>
    </w:p>
    <w:p w14:paraId="01B6FAA5" w14:textId="020D13DC" w:rsidR="002B435C" w:rsidRPr="00964850" w:rsidRDefault="002B435C" w:rsidP="006D6060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</w:pPr>
      <w:r w:rsidRPr="006D6060">
        <w:t xml:space="preserve">odbiór dokumentów z siedziby </w:t>
      </w:r>
      <w:r w:rsidR="00997F59" w:rsidRPr="006D6060">
        <w:t>z</w:t>
      </w:r>
      <w:r w:rsidRPr="006D6060">
        <w:t>a</w:t>
      </w:r>
      <w:r w:rsidR="00997F59" w:rsidRPr="006D6060">
        <w:t>ma</w:t>
      </w:r>
      <w:r w:rsidRPr="006D6060">
        <w:t xml:space="preserve">wiającego i przewóz do siedziby wykonawcy </w:t>
      </w:r>
      <w:r w:rsidRPr="00964850">
        <w:t>powinien odbywać się w zaplombowanych pojemnikach</w:t>
      </w:r>
      <w:r w:rsidR="00997F59" w:rsidRPr="00964850">
        <w:t xml:space="preserve"> - odpowiednio zabezpieczon</w:t>
      </w:r>
      <w:r w:rsidR="00266396" w:rsidRPr="00964850">
        <w:t>ych,</w:t>
      </w:r>
    </w:p>
    <w:p w14:paraId="63BA2F31" w14:textId="613B2F76" w:rsidR="002B435C" w:rsidRPr="00964850" w:rsidRDefault="002B435C" w:rsidP="006D6060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</w:pPr>
      <w:r w:rsidRPr="00964850">
        <w:t xml:space="preserve">wszystkie niezbędne materiały </w:t>
      </w:r>
      <w:r w:rsidR="00CD1DCB" w:rsidRPr="00964850">
        <w:t xml:space="preserve">i nakłady </w:t>
      </w:r>
      <w:r w:rsidRPr="00964850">
        <w:t xml:space="preserve">potrzebne do wykonania usługi leżą po stronie wykonawcy i </w:t>
      </w:r>
      <w:r w:rsidR="007F5CA8" w:rsidRPr="00964850">
        <w:t xml:space="preserve">stanowią </w:t>
      </w:r>
      <w:r w:rsidRPr="00964850">
        <w:t>jego koszt</w:t>
      </w:r>
      <w:r w:rsidR="006D6060" w:rsidRPr="00964850">
        <w:t>,</w:t>
      </w:r>
    </w:p>
    <w:p w14:paraId="78B1698B" w14:textId="741C9253" w:rsidR="002B435C" w:rsidRDefault="002B435C" w:rsidP="006D6060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</w:pPr>
      <w:r w:rsidRPr="00964850">
        <w:t xml:space="preserve">wykonawca w wycenie oferty musi uwzględnić koszty przewozu dokumentacji </w:t>
      </w:r>
      <w:r w:rsidRPr="006D6060">
        <w:t>z siedziby Zespołu</w:t>
      </w:r>
      <w:r w:rsidR="007F5CA8">
        <w:t>,</w:t>
      </w:r>
      <w:r w:rsidRPr="006D6060">
        <w:t xml:space="preserve"> tj. Świdnica ul. Wałbrzyska 15 do miejsca wykonania usługi oraz z miejsca wykonania usługi do miejsca wyznaczonego przez Zespół znajdującego się w obrębie</w:t>
      </w:r>
      <w:r w:rsidR="00266396">
        <w:t xml:space="preserve"> powiatu świdnickiego</w:t>
      </w:r>
      <w:r w:rsidR="006D6060">
        <w:t>,</w:t>
      </w:r>
    </w:p>
    <w:p w14:paraId="492AE086" w14:textId="5D5E1273" w:rsidR="00430632" w:rsidRDefault="00430632" w:rsidP="006D6060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</w:pPr>
      <w:r w:rsidRPr="006D6060">
        <w:t>pomieszczenie w którym będzie wykonywana usługa musi być wyposażone w antywłamaniowe zabezpieczenia mechaniczne i elektroniczne</w:t>
      </w:r>
      <w:r w:rsidR="00A906E6" w:rsidRPr="006D6060">
        <w:t xml:space="preserve"> tj.</w:t>
      </w:r>
      <w:r w:rsidR="006B4F2C">
        <w:t xml:space="preserve"> </w:t>
      </w:r>
      <w:r w:rsidR="00A906E6" w:rsidRPr="006D6060">
        <w:t>alarm przeciwpożarowy</w:t>
      </w:r>
      <w:r w:rsidR="00B544B3" w:rsidRPr="006D6060">
        <w:t xml:space="preserve">, antywłamaniowy. </w:t>
      </w:r>
      <w:r w:rsidR="00601062" w:rsidRPr="006D6060">
        <w:t>Pomieszczenia te muszą być stref</w:t>
      </w:r>
      <w:r w:rsidR="003E0EE3">
        <w:t>ą</w:t>
      </w:r>
      <w:r w:rsidR="00601062" w:rsidRPr="006D6060">
        <w:t xml:space="preserve"> ochronną, do której przypadkowe osoby nie mają wstępu.</w:t>
      </w:r>
    </w:p>
    <w:p w14:paraId="0CF4453B" w14:textId="7C444FA6" w:rsidR="00BB6168" w:rsidRPr="006D6060" w:rsidRDefault="006D6060" w:rsidP="006D6060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120" w:line="240" w:lineRule="auto"/>
      </w:pPr>
      <w:r>
        <w:t>W</w:t>
      </w:r>
      <w:r w:rsidR="00BB6168" w:rsidRPr="006D6060">
        <w:t xml:space="preserve">ykonawca </w:t>
      </w:r>
      <w:r>
        <w:t>zobowiązany jest</w:t>
      </w:r>
      <w:r w:rsidR="00BB6168" w:rsidRPr="006D6060">
        <w:t xml:space="preserve"> posiadać aktualną polisę OC z tytułu wykonywania działalności</w:t>
      </w:r>
      <w:r>
        <w:t xml:space="preserve"> przez cały okres obowiązywania umowy. </w:t>
      </w:r>
      <w:r w:rsidR="00BB6168" w:rsidRPr="006D6060">
        <w:t xml:space="preserve"> </w:t>
      </w:r>
    </w:p>
    <w:p w14:paraId="1210A607" w14:textId="77777777" w:rsidR="002B435C" w:rsidRPr="00CC5AAE" w:rsidRDefault="002B435C" w:rsidP="00CC5AAE">
      <w:pPr>
        <w:tabs>
          <w:tab w:val="left" w:pos="851"/>
        </w:tabs>
        <w:suppressAutoHyphens/>
        <w:spacing w:after="120" w:line="240" w:lineRule="auto"/>
      </w:pPr>
    </w:p>
    <w:p w14:paraId="56BC777D" w14:textId="4D427C14" w:rsidR="00FA39DF" w:rsidRPr="00CC5AAE" w:rsidRDefault="00FA39DF" w:rsidP="00CC5AAE">
      <w:pPr>
        <w:spacing w:line="240" w:lineRule="auto"/>
        <w:ind w:firstLine="0"/>
        <w:rPr>
          <w:color w:val="FF0000"/>
        </w:rPr>
      </w:pPr>
    </w:p>
    <w:sectPr w:rsidR="00FA39DF" w:rsidRPr="00CC5AAE" w:rsidSect="002B43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/>
      </w:rPr>
    </w:lvl>
  </w:abstractNum>
  <w:abstractNum w:abstractNumId="1" w15:restartNumberingAfterBreak="0">
    <w:nsid w:val="00000036"/>
    <w:multiLevelType w:val="single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2" w15:restartNumberingAfterBreak="0">
    <w:nsid w:val="00000037"/>
    <w:multiLevelType w:val="singleLevel"/>
    <w:tmpl w:val="00000037"/>
    <w:name w:val="WW8Num74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</w:rPr>
    </w:lvl>
  </w:abstractNum>
  <w:abstractNum w:abstractNumId="3" w15:restartNumberingAfterBreak="0">
    <w:nsid w:val="1C3669CF"/>
    <w:multiLevelType w:val="hybridMultilevel"/>
    <w:tmpl w:val="8D1AB0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A7E05"/>
    <w:multiLevelType w:val="hybridMultilevel"/>
    <w:tmpl w:val="AD623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122F"/>
    <w:multiLevelType w:val="hybridMultilevel"/>
    <w:tmpl w:val="8684DF58"/>
    <w:lvl w:ilvl="0" w:tplc="83968DE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1C81"/>
    <w:multiLevelType w:val="hybridMultilevel"/>
    <w:tmpl w:val="20106770"/>
    <w:lvl w:ilvl="0" w:tplc="BA6A1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E12D31"/>
    <w:multiLevelType w:val="hybridMultilevel"/>
    <w:tmpl w:val="BD14413E"/>
    <w:lvl w:ilvl="0" w:tplc="668226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076FBC"/>
    <w:multiLevelType w:val="hybridMultilevel"/>
    <w:tmpl w:val="8662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43711"/>
    <w:multiLevelType w:val="multilevel"/>
    <w:tmpl w:val="23722482"/>
    <w:lvl w:ilvl="0">
      <w:start w:val="5"/>
      <w:numFmt w:val="decimal"/>
      <w:lvlText w:val="%1. "/>
      <w:lvlJc w:val="left"/>
      <w:pPr>
        <w:ind w:left="397" w:hanging="397"/>
      </w:pPr>
      <w:rPr>
        <w:rFonts w:ascii="Palatino Linotype" w:hAnsi="Palatino Linotype" w:cs="Palatino Linotype" w:hint="default"/>
        <w:b/>
        <w:i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4446F3"/>
    <w:multiLevelType w:val="hybridMultilevel"/>
    <w:tmpl w:val="4A366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03C49"/>
    <w:multiLevelType w:val="hybridMultilevel"/>
    <w:tmpl w:val="99B2D03C"/>
    <w:lvl w:ilvl="0" w:tplc="2D86C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00ECF"/>
    <w:multiLevelType w:val="hybridMultilevel"/>
    <w:tmpl w:val="75082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06A3E"/>
    <w:multiLevelType w:val="hybridMultilevel"/>
    <w:tmpl w:val="143E1192"/>
    <w:lvl w:ilvl="0" w:tplc="273A2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8B7AF1"/>
    <w:multiLevelType w:val="multilevel"/>
    <w:tmpl w:val="EA3A4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5A2284"/>
    <w:multiLevelType w:val="hybridMultilevel"/>
    <w:tmpl w:val="D03C4A8E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7ECD639A"/>
    <w:multiLevelType w:val="multilevel"/>
    <w:tmpl w:val="3ADC6DE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2"/>
      <w:numFmt w:val="decimal"/>
      <w:lvlText w:val="%1.3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98"/>
    <w:rsid w:val="0001717E"/>
    <w:rsid w:val="00032C68"/>
    <w:rsid w:val="0003520E"/>
    <w:rsid w:val="000748E4"/>
    <w:rsid w:val="00083B9D"/>
    <w:rsid w:val="000C0F4E"/>
    <w:rsid w:val="000C5A71"/>
    <w:rsid w:val="0011730D"/>
    <w:rsid w:val="00142492"/>
    <w:rsid w:val="00151306"/>
    <w:rsid w:val="00187998"/>
    <w:rsid w:val="00194F20"/>
    <w:rsid w:val="001A7DD3"/>
    <w:rsid w:val="00257977"/>
    <w:rsid w:val="00266396"/>
    <w:rsid w:val="002A234F"/>
    <w:rsid w:val="002B435C"/>
    <w:rsid w:val="002D3E99"/>
    <w:rsid w:val="002F36D8"/>
    <w:rsid w:val="0030219A"/>
    <w:rsid w:val="003840CB"/>
    <w:rsid w:val="003A02F9"/>
    <w:rsid w:val="003E0EE3"/>
    <w:rsid w:val="003F313A"/>
    <w:rsid w:val="004161CD"/>
    <w:rsid w:val="00430632"/>
    <w:rsid w:val="005A458D"/>
    <w:rsid w:val="005C459A"/>
    <w:rsid w:val="005D4E82"/>
    <w:rsid w:val="005F184A"/>
    <w:rsid w:val="00600ADB"/>
    <w:rsid w:val="00601062"/>
    <w:rsid w:val="006B4F2C"/>
    <w:rsid w:val="006D6060"/>
    <w:rsid w:val="006E4159"/>
    <w:rsid w:val="006F2FFF"/>
    <w:rsid w:val="00720456"/>
    <w:rsid w:val="0076469C"/>
    <w:rsid w:val="007F5CA8"/>
    <w:rsid w:val="007F7FAF"/>
    <w:rsid w:val="00806EF5"/>
    <w:rsid w:val="0082109A"/>
    <w:rsid w:val="008B5C3D"/>
    <w:rsid w:val="008D601C"/>
    <w:rsid w:val="00937C6C"/>
    <w:rsid w:val="00964850"/>
    <w:rsid w:val="00975AC3"/>
    <w:rsid w:val="00997F59"/>
    <w:rsid w:val="009D7020"/>
    <w:rsid w:val="009F61DE"/>
    <w:rsid w:val="00A906E6"/>
    <w:rsid w:val="00AA427F"/>
    <w:rsid w:val="00AF2EF7"/>
    <w:rsid w:val="00AF4DD0"/>
    <w:rsid w:val="00B179F9"/>
    <w:rsid w:val="00B544B3"/>
    <w:rsid w:val="00B56063"/>
    <w:rsid w:val="00B848C1"/>
    <w:rsid w:val="00BB6168"/>
    <w:rsid w:val="00CC5AAE"/>
    <w:rsid w:val="00CD1DCB"/>
    <w:rsid w:val="00CD5E97"/>
    <w:rsid w:val="00CE1B0D"/>
    <w:rsid w:val="00D22A59"/>
    <w:rsid w:val="00DC6F2A"/>
    <w:rsid w:val="00DE197A"/>
    <w:rsid w:val="00DE481B"/>
    <w:rsid w:val="00E30BE8"/>
    <w:rsid w:val="00EA51A6"/>
    <w:rsid w:val="00EB77A6"/>
    <w:rsid w:val="00EE11C5"/>
    <w:rsid w:val="00F12452"/>
    <w:rsid w:val="00F56C4D"/>
    <w:rsid w:val="00FA39DF"/>
    <w:rsid w:val="00FC7A2D"/>
    <w:rsid w:val="00FD3B64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64B1"/>
  <w15:chartTrackingRefBased/>
  <w15:docId w15:val="{EAC54B13-1783-4018-8B2B-7FC569B2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E009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009A"/>
    <w:rPr>
      <w:rFonts w:eastAsiaTheme="majorEastAsia" w:cstheme="majorBidi"/>
      <w:b/>
      <w:sz w:val="26"/>
      <w:szCs w:val="26"/>
    </w:rPr>
  </w:style>
  <w:style w:type="paragraph" w:customStyle="1" w:styleId="RozpBodyText">
    <w:name w:val="Rozp Body Text"/>
    <w:link w:val="RozpBodyTextZnak"/>
    <w:rsid w:val="00187998"/>
    <w:pPr>
      <w:tabs>
        <w:tab w:val="right" w:pos="7087"/>
      </w:tabs>
      <w:autoSpaceDE w:val="0"/>
      <w:autoSpaceDN w:val="0"/>
      <w:adjustRightInd w:val="0"/>
      <w:spacing w:line="247" w:lineRule="atLeast"/>
      <w:ind w:firstLine="284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Rozp1">
    <w:name w:val="Rozp 1."/>
    <w:rsid w:val="00187998"/>
    <w:pPr>
      <w:tabs>
        <w:tab w:val="right" w:pos="227"/>
        <w:tab w:val="left" w:pos="283"/>
        <w:tab w:val="right" w:pos="7087"/>
      </w:tabs>
      <w:autoSpaceDE w:val="0"/>
      <w:autoSpaceDN w:val="0"/>
      <w:adjustRightInd w:val="0"/>
      <w:spacing w:line="247" w:lineRule="atLeast"/>
      <w:ind w:left="284" w:hanging="39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RozpBodyTextZnak">
    <w:name w:val="Rozp Body Text Znak"/>
    <w:basedOn w:val="Domylnaczcionkaakapitu"/>
    <w:link w:val="RozpBodyText"/>
    <w:rsid w:val="00187998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Rozp2">
    <w:name w:val="Rozp 2."/>
    <w:rsid w:val="00FD3B64"/>
    <w:pPr>
      <w:widowControl w:val="0"/>
      <w:tabs>
        <w:tab w:val="right" w:pos="510"/>
        <w:tab w:val="left" w:pos="567"/>
        <w:tab w:val="right" w:pos="7087"/>
      </w:tabs>
      <w:autoSpaceDE w:val="0"/>
      <w:autoSpaceDN w:val="0"/>
      <w:adjustRightInd w:val="0"/>
      <w:spacing w:line="247" w:lineRule="atLeast"/>
      <w:ind w:left="567" w:hanging="397"/>
    </w:pPr>
    <w:rPr>
      <w:rFonts w:ascii="Arial" w:eastAsia="Times New Roman" w:hAnsi="Arial" w:cs="Arial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sid w:val="00FD3B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3B6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3B64"/>
    <w:rPr>
      <w:rFonts w:ascii="Arial" w:eastAsia="Times New Roman" w:hAnsi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B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6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B64"/>
    <w:pPr>
      <w:widowControl/>
      <w:autoSpaceDE/>
      <w:autoSpaceDN/>
      <w:adjustRightInd/>
      <w:ind w:firstLine="709"/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64"/>
    <w:rPr>
      <w:rFonts w:ascii="Arial" w:eastAsia="Times New Roman" w:hAnsi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Rzeszotarski</dc:creator>
  <cp:keywords/>
  <dc:description/>
  <cp:lastModifiedBy>Kasia</cp:lastModifiedBy>
  <cp:revision>4</cp:revision>
  <cp:lastPrinted>2021-04-28T07:56:00Z</cp:lastPrinted>
  <dcterms:created xsi:type="dcterms:W3CDTF">2021-04-27T09:54:00Z</dcterms:created>
  <dcterms:modified xsi:type="dcterms:W3CDTF">2021-04-28T08:07:00Z</dcterms:modified>
</cp:coreProperties>
</file>