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36C6" w14:textId="1F344AF2" w:rsidR="00AC640A" w:rsidRPr="00CA7096" w:rsidRDefault="00C22CC5">
      <w:pPr>
        <w:rPr>
          <w:rFonts w:cstheme="minorHAnsi"/>
          <w:b/>
          <w:bCs/>
          <w:sz w:val="32"/>
          <w:szCs w:val="32"/>
        </w:rPr>
      </w:pPr>
      <w:r w:rsidRPr="00CA7096">
        <w:rPr>
          <w:rFonts w:cstheme="minorHAnsi"/>
          <w:b/>
          <w:bCs/>
          <w:sz w:val="32"/>
          <w:szCs w:val="32"/>
        </w:rPr>
        <w:t>O</w:t>
      </w:r>
      <w:r w:rsidR="000119C5" w:rsidRPr="00CA7096">
        <w:rPr>
          <w:rFonts w:cstheme="minorHAnsi"/>
          <w:b/>
          <w:bCs/>
          <w:sz w:val="32"/>
          <w:szCs w:val="32"/>
        </w:rPr>
        <w:t>pis przedmiotu zamówienia</w:t>
      </w:r>
    </w:p>
    <w:p w14:paraId="008DFFB6" w14:textId="2A44E22D" w:rsidR="00FF259C" w:rsidRPr="00F757F2" w:rsidRDefault="00FF259C" w:rsidP="00FF259C">
      <w:pPr>
        <w:jc w:val="both"/>
        <w:rPr>
          <w:rFonts w:cstheme="minorHAnsi"/>
          <w:b/>
          <w:bCs/>
        </w:rPr>
      </w:pPr>
      <w:r w:rsidRPr="00F757F2">
        <w:rPr>
          <w:rFonts w:cstheme="minorHAnsi"/>
          <w:b/>
          <w:bCs/>
        </w:rPr>
        <w:t>Zakup i przedłużenie ważności licencji oprogramowania Microsoft 365 Business Standard, Exchange Online, Power BI Pro, Project oraz Visio posiadanego przez Zamawiającego lub produktu równoważnego.</w:t>
      </w:r>
    </w:p>
    <w:p w14:paraId="593D8223" w14:textId="2FA5A108" w:rsidR="000119C5" w:rsidRPr="00F757F2" w:rsidRDefault="000119C5" w:rsidP="000119C5">
      <w:pPr>
        <w:rPr>
          <w:rFonts w:cstheme="minorHAnsi"/>
          <w:b/>
          <w:bCs/>
        </w:rPr>
      </w:pPr>
    </w:p>
    <w:tbl>
      <w:tblPr>
        <w:tblStyle w:val="Tabela-Siatka"/>
        <w:tblW w:w="0" w:type="auto"/>
        <w:tblLook w:val="04A0" w:firstRow="1" w:lastRow="0" w:firstColumn="1" w:lastColumn="0" w:noHBand="0" w:noVBand="1"/>
      </w:tblPr>
      <w:tblGrid>
        <w:gridCol w:w="590"/>
        <w:gridCol w:w="5047"/>
        <w:gridCol w:w="1701"/>
        <w:gridCol w:w="1559"/>
      </w:tblGrid>
      <w:tr w:rsidR="009F0876" w:rsidRPr="00F757F2" w14:paraId="2C4273E8" w14:textId="77777777" w:rsidTr="004038BE">
        <w:tc>
          <w:tcPr>
            <w:tcW w:w="590" w:type="dxa"/>
            <w:vAlign w:val="center"/>
          </w:tcPr>
          <w:p w14:paraId="2D59C0FF" w14:textId="4D373BC8" w:rsidR="009F0876" w:rsidRPr="00F757F2" w:rsidRDefault="009F0876" w:rsidP="00BF50B2">
            <w:pPr>
              <w:jc w:val="center"/>
              <w:rPr>
                <w:rFonts w:cstheme="minorHAnsi"/>
                <w:b/>
                <w:bCs/>
              </w:rPr>
            </w:pPr>
            <w:r w:rsidRPr="00F757F2">
              <w:rPr>
                <w:rFonts w:cstheme="minorHAnsi"/>
                <w:b/>
                <w:bCs/>
              </w:rPr>
              <w:t>Lp.</w:t>
            </w:r>
          </w:p>
        </w:tc>
        <w:tc>
          <w:tcPr>
            <w:tcW w:w="5047" w:type="dxa"/>
            <w:vAlign w:val="center"/>
          </w:tcPr>
          <w:p w14:paraId="7D2E392D" w14:textId="77777777" w:rsidR="009F0876" w:rsidRPr="00F757F2" w:rsidRDefault="009F0876" w:rsidP="002C4665">
            <w:pPr>
              <w:jc w:val="center"/>
              <w:rPr>
                <w:rFonts w:cstheme="minorHAnsi"/>
                <w:b/>
                <w:bCs/>
              </w:rPr>
            </w:pPr>
            <w:r w:rsidRPr="00F757F2">
              <w:rPr>
                <w:rFonts w:cstheme="minorHAnsi"/>
                <w:b/>
                <w:bCs/>
              </w:rPr>
              <w:t>Produkty</w:t>
            </w:r>
          </w:p>
          <w:p w14:paraId="71547D10" w14:textId="46BA49BE" w:rsidR="009F0876" w:rsidRPr="00F757F2" w:rsidRDefault="009F0876" w:rsidP="002C4665">
            <w:pPr>
              <w:jc w:val="center"/>
              <w:rPr>
                <w:rFonts w:cstheme="minorHAnsi"/>
                <w:b/>
                <w:bCs/>
              </w:rPr>
            </w:pPr>
            <w:r w:rsidRPr="00F757F2">
              <w:rPr>
                <w:rFonts w:cstheme="minorHAnsi"/>
                <w:b/>
                <w:bCs/>
              </w:rPr>
              <w:t>(lub produkty równoważne do</w:t>
            </w:r>
          </w:p>
          <w:p w14:paraId="674DD3D8" w14:textId="514EC99F" w:rsidR="009F0876" w:rsidRPr="00F757F2" w:rsidRDefault="009F0876" w:rsidP="002C4665">
            <w:pPr>
              <w:jc w:val="center"/>
              <w:rPr>
                <w:rFonts w:cstheme="minorHAnsi"/>
                <w:b/>
                <w:bCs/>
              </w:rPr>
            </w:pPr>
            <w:r w:rsidRPr="00F757F2">
              <w:rPr>
                <w:rFonts w:cstheme="minorHAnsi"/>
                <w:b/>
                <w:bCs/>
              </w:rPr>
              <w:t>podanych poniżej)</w:t>
            </w:r>
          </w:p>
        </w:tc>
        <w:tc>
          <w:tcPr>
            <w:tcW w:w="1701" w:type="dxa"/>
            <w:vAlign w:val="center"/>
          </w:tcPr>
          <w:p w14:paraId="6841C395" w14:textId="73ABDC81" w:rsidR="009F0876" w:rsidRPr="00F757F2" w:rsidRDefault="009F0876" w:rsidP="002C4665">
            <w:pPr>
              <w:jc w:val="center"/>
              <w:rPr>
                <w:rFonts w:cstheme="minorHAnsi"/>
                <w:b/>
                <w:bCs/>
              </w:rPr>
            </w:pPr>
            <w:r w:rsidRPr="00F757F2">
              <w:rPr>
                <w:rFonts w:cstheme="minorHAnsi"/>
                <w:b/>
                <w:bCs/>
              </w:rPr>
              <w:t>Okres używania</w:t>
            </w:r>
          </w:p>
          <w:p w14:paraId="2FC5042C" w14:textId="3DF924F6" w:rsidR="009F0876" w:rsidRPr="00F757F2" w:rsidRDefault="009F0876" w:rsidP="002C4665">
            <w:pPr>
              <w:jc w:val="center"/>
              <w:rPr>
                <w:rFonts w:cstheme="minorHAnsi"/>
                <w:b/>
                <w:bCs/>
              </w:rPr>
            </w:pPr>
            <w:r w:rsidRPr="00F757F2">
              <w:rPr>
                <w:rFonts w:cstheme="minorHAnsi"/>
                <w:b/>
                <w:bCs/>
              </w:rPr>
              <w:t>produktu</w:t>
            </w:r>
          </w:p>
        </w:tc>
        <w:tc>
          <w:tcPr>
            <w:tcW w:w="1559" w:type="dxa"/>
            <w:vAlign w:val="center"/>
          </w:tcPr>
          <w:p w14:paraId="5EAD8F1E" w14:textId="16E12AEE" w:rsidR="009F0876" w:rsidRPr="00F757F2" w:rsidRDefault="00342402" w:rsidP="002C4665">
            <w:pPr>
              <w:jc w:val="center"/>
              <w:rPr>
                <w:rFonts w:cstheme="minorHAnsi"/>
                <w:b/>
                <w:bCs/>
              </w:rPr>
            </w:pPr>
            <w:r w:rsidRPr="00F757F2">
              <w:rPr>
                <w:rFonts w:cstheme="minorHAnsi"/>
                <w:b/>
                <w:bCs/>
              </w:rPr>
              <w:t>L</w:t>
            </w:r>
            <w:r w:rsidR="009F0876" w:rsidRPr="00F757F2">
              <w:rPr>
                <w:rFonts w:cstheme="minorHAnsi"/>
                <w:b/>
                <w:bCs/>
              </w:rPr>
              <w:t>iczba</w:t>
            </w:r>
          </w:p>
          <w:p w14:paraId="343DEBBE" w14:textId="43585EEB" w:rsidR="009F0876" w:rsidRPr="00F757F2" w:rsidRDefault="009F0876" w:rsidP="002C4665">
            <w:pPr>
              <w:jc w:val="center"/>
              <w:rPr>
                <w:rFonts w:cstheme="minorHAnsi"/>
                <w:b/>
                <w:bCs/>
              </w:rPr>
            </w:pPr>
            <w:r w:rsidRPr="00F757F2">
              <w:rPr>
                <w:rFonts w:cstheme="minorHAnsi"/>
                <w:b/>
                <w:bCs/>
              </w:rPr>
              <w:t>Licencji (sztuk)</w:t>
            </w:r>
          </w:p>
        </w:tc>
      </w:tr>
      <w:tr w:rsidR="004038BE" w:rsidRPr="00F757F2" w14:paraId="45705B40" w14:textId="77777777" w:rsidTr="004038BE">
        <w:tc>
          <w:tcPr>
            <w:tcW w:w="590" w:type="dxa"/>
          </w:tcPr>
          <w:p w14:paraId="677C7F02" w14:textId="53E977F6" w:rsidR="004038BE" w:rsidRPr="00F757F2" w:rsidRDefault="004038BE" w:rsidP="00D27936">
            <w:pPr>
              <w:jc w:val="center"/>
              <w:rPr>
                <w:rFonts w:cstheme="minorHAnsi"/>
              </w:rPr>
            </w:pPr>
            <w:r w:rsidRPr="00F757F2">
              <w:rPr>
                <w:rFonts w:cstheme="minorHAnsi"/>
              </w:rPr>
              <w:t>1.</w:t>
            </w:r>
          </w:p>
        </w:tc>
        <w:tc>
          <w:tcPr>
            <w:tcW w:w="5047" w:type="dxa"/>
          </w:tcPr>
          <w:p w14:paraId="2E216FEE" w14:textId="77777777" w:rsidR="004038BE" w:rsidRPr="00F757F2" w:rsidRDefault="004038BE" w:rsidP="00D27936">
            <w:pPr>
              <w:rPr>
                <w:rFonts w:cstheme="minorHAnsi"/>
              </w:rPr>
            </w:pPr>
            <w:r w:rsidRPr="00F757F2">
              <w:rPr>
                <w:rFonts w:cstheme="minorHAnsi"/>
              </w:rPr>
              <w:t>Exchange Online (plan 1)</w:t>
            </w:r>
          </w:p>
        </w:tc>
        <w:tc>
          <w:tcPr>
            <w:tcW w:w="1701" w:type="dxa"/>
          </w:tcPr>
          <w:p w14:paraId="53CFCF22" w14:textId="77777777" w:rsidR="004038BE" w:rsidRPr="00F757F2" w:rsidRDefault="004038BE" w:rsidP="004038BE">
            <w:pPr>
              <w:jc w:val="center"/>
              <w:rPr>
                <w:rFonts w:cstheme="minorHAnsi"/>
              </w:rPr>
            </w:pPr>
            <w:r w:rsidRPr="00F757F2">
              <w:rPr>
                <w:rFonts w:cstheme="minorHAnsi"/>
              </w:rPr>
              <w:t>12 miesięcy</w:t>
            </w:r>
          </w:p>
        </w:tc>
        <w:tc>
          <w:tcPr>
            <w:tcW w:w="1559" w:type="dxa"/>
          </w:tcPr>
          <w:p w14:paraId="664A24BD" w14:textId="77777777" w:rsidR="004038BE" w:rsidRPr="00F757F2" w:rsidRDefault="004038BE" w:rsidP="004038BE">
            <w:pPr>
              <w:jc w:val="center"/>
              <w:rPr>
                <w:rFonts w:cstheme="minorHAnsi"/>
              </w:rPr>
            </w:pPr>
            <w:r w:rsidRPr="00F757F2">
              <w:rPr>
                <w:rFonts w:cstheme="minorHAnsi"/>
              </w:rPr>
              <w:t>10</w:t>
            </w:r>
          </w:p>
        </w:tc>
      </w:tr>
      <w:tr w:rsidR="004038BE" w:rsidRPr="00F757F2" w14:paraId="0CA9A47A" w14:textId="77777777" w:rsidTr="004038BE">
        <w:tc>
          <w:tcPr>
            <w:tcW w:w="590" w:type="dxa"/>
          </w:tcPr>
          <w:p w14:paraId="645FD4E6" w14:textId="7DED1279" w:rsidR="004038BE" w:rsidRPr="00F757F2" w:rsidRDefault="004038BE" w:rsidP="00D27936">
            <w:pPr>
              <w:jc w:val="center"/>
              <w:rPr>
                <w:rFonts w:cstheme="minorHAnsi"/>
              </w:rPr>
            </w:pPr>
            <w:r w:rsidRPr="00F757F2">
              <w:rPr>
                <w:rFonts w:cstheme="minorHAnsi"/>
              </w:rPr>
              <w:t>2.</w:t>
            </w:r>
          </w:p>
        </w:tc>
        <w:tc>
          <w:tcPr>
            <w:tcW w:w="5047" w:type="dxa"/>
          </w:tcPr>
          <w:p w14:paraId="4B775D7C" w14:textId="77777777" w:rsidR="004038BE" w:rsidRPr="00F757F2" w:rsidRDefault="004038BE" w:rsidP="00D27936">
            <w:pPr>
              <w:rPr>
                <w:rFonts w:cstheme="minorHAnsi"/>
                <w:lang w:val="en-US"/>
              </w:rPr>
            </w:pPr>
            <w:r w:rsidRPr="00F757F2">
              <w:rPr>
                <w:rFonts w:cstheme="minorHAnsi"/>
                <w:lang w:val="en-US"/>
              </w:rPr>
              <w:t>Microsoft 365 Business Standard z MS Teams</w:t>
            </w:r>
          </w:p>
        </w:tc>
        <w:tc>
          <w:tcPr>
            <w:tcW w:w="1701" w:type="dxa"/>
          </w:tcPr>
          <w:p w14:paraId="3D4A4766" w14:textId="77777777" w:rsidR="004038BE" w:rsidRPr="00F757F2" w:rsidRDefault="004038BE" w:rsidP="004038BE">
            <w:pPr>
              <w:jc w:val="center"/>
              <w:rPr>
                <w:rFonts w:cstheme="minorHAnsi"/>
              </w:rPr>
            </w:pPr>
            <w:r w:rsidRPr="00F757F2">
              <w:rPr>
                <w:rFonts w:cstheme="minorHAnsi"/>
              </w:rPr>
              <w:t>12 miesięcy</w:t>
            </w:r>
          </w:p>
        </w:tc>
        <w:tc>
          <w:tcPr>
            <w:tcW w:w="1559" w:type="dxa"/>
          </w:tcPr>
          <w:p w14:paraId="65A1D65D" w14:textId="77777777" w:rsidR="004038BE" w:rsidRPr="00F757F2" w:rsidRDefault="004038BE" w:rsidP="004038BE">
            <w:pPr>
              <w:jc w:val="center"/>
              <w:rPr>
                <w:rFonts w:cstheme="minorHAnsi"/>
              </w:rPr>
            </w:pPr>
            <w:r w:rsidRPr="00F757F2">
              <w:rPr>
                <w:rFonts w:cstheme="minorHAnsi"/>
              </w:rPr>
              <w:t>300</w:t>
            </w:r>
          </w:p>
        </w:tc>
      </w:tr>
      <w:tr w:rsidR="00BF50B2" w:rsidRPr="00F757F2" w14:paraId="721FBBC7" w14:textId="77777777" w:rsidTr="004038BE">
        <w:tc>
          <w:tcPr>
            <w:tcW w:w="590" w:type="dxa"/>
          </w:tcPr>
          <w:p w14:paraId="05423970" w14:textId="05B12258" w:rsidR="00BF50B2" w:rsidRPr="00F757F2" w:rsidRDefault="00144953" w:rsidP="00BF50B2">
            <w:pPr>
              <w:jc w:val="center"/>
              <w:rPr>
                <w:rFonts w:cstheme="minorHAnsi"/>
              </w:rPr>
            </w:pPr>
            <w:r w:rsidRPr="00F757F2">
              <w:rPr>
                <w:rFonts w:cstheme="minorHAnsi"/>
              </w:rPr>
              <w:t>3</w:t>
            </w:r>
            <w:r w:rsidR="00BF50B2" w:rsidRPr="00F757F2">
              <w:rPr>
                <w:rFonts w:cstheme="minorHAnsi"/>
              </w:rPr>
              <w:t>.</w:t>
            </w:r>
          </w:p>
        </w:tc>
        <w:tc>
          <w:tcPr>
            <w:tcW w:w="5047" w:type="dxa"/>
          </w:tcPr>
          <w:p w14:paraId="58A23AE7" w14:textId="726B1FA9" w:rsidR="00BF50B2" w:rsidRPr="00F757F2" w:rsidRDefault="0047239A" w:rsidP="000119C5">
            <w:pPr>
              <w:rPr>
                <w:rFonts w:cstheme="minorHAnsi"/>
              </w:rPr>
            </w:pPr>
            <w:r w:rsidRPr="00F757F2">
              <w:rPr>
                <w:rFonts w:cstheme="minorHAnsi"/>
              </w:rPr>
              <w:t>Power BI Pro</w:t>
            </w:r>
          </w:p>
        </w:tc>
        <w:tc>
          <w:tcPr>
            <w:tcW w:w="1701" w:type="dxa"/>
          </w:tcPr>
          <w:p w14:paraId="62BA991E" w14:textId="65B31F82" w:rsidR="00BF50B2" w:rsidRPr="00F757F2" w:rsidRDefault="0047239A" w:rsidP="004038BE">
            <w:pPr>
              <w:jc w:val="center"/>
              <w:rPr>
                <w:rFonts w:cstheme="minorHAnsi"/>
              </w:rPr>
            </w:pPr>
            <w:r w:rsidRPr="00F757F2">
              <w:rPr>
                <w:rFonts w:cstheme="minorHAnsi"/>
              </w:rPr>
              <w:t>12 miesięcy</w:t>
            </w:r>
          </w:p>
        </w:tc>
        <w:tc>
          <w:tcPr>
            <w:tcW w:w="1559" w:type="dxa"/>
          </w:tcPr>
          <w:p w14:paraId="2B90EEA3" w14:textId="14EEC4F5" w:rsidR="00BF50B2" w:rsidRPr="00F757F2" w:rsidRDefault="00B40DC6" w:rsidP="004038BE">
            <w:pPr>
              <w:jc w:val="center"/>
              <w:rPr>
                <w:rFonts w:cstheme="minorHAnsi"/>
              </w:rPr>
            </w:pPr>
            <w:r w:rsidRPr="00F757F2">
              <w:rPr>
                <w:rFonts w:cstheme="minorHAnsi"/>
              </w:rPr>
              <w:t>4</w:t>
            </w:r>
          </w:p>
        </w:tc>
      </w:tr>
      <w:tr w:rsidR="00B40DC6" w:rsidRPr="00F757F2" w14:paraId="39D89D15" w14:textId="77777777" w:rsidTr="004038BE">
        <w:tc>
          <w:tcPr>
            <w:tcW w:w="590" w:type="dxa"/>
          </w:tcPr>
          <w:p w14:paraId="308AE453" w14:textId="6964B910" w:rsidR="00B40DC6" w:rsidRPr="00F757F2" w:rsidRDefault="00144953" w:rsidP="00BF50B2">
            <w:pPr>
              <w:jc w:val="center"/>
              <w:rPr>
                <w:rFonts w:cstheme="minorHAnsi"/>
              </w:rPr>
            </w:pPr>
            <w:r w:rsidRPr="00F757F2">
              <w:rPr>
                <w:rFonts w:cstheme="minorHAnsi"/>
              </w:rPr>
              <w:t>4</w:t>
            </w:r>
            <w:r w:rsidR="00B40DC6" w:rsidRPr="00F757F2">
              <w:rPr>
                <w:rFonts w:cstheme="minorHAnsi"/>
              </w:rPr>
              <w:t>.</w:t>
            </w:r>
          </w:p>
        </w:tc>
        <w:tc>
          <w:tcPr>
            <w:tcW w:w="5047" w:type="dxa"/>
          </w:tcPr>
          <w:p w14:paraId="5B66166C" w14:textId="6FBEA5D0" w:rsidR="00B40DC6" w:rsidRPr="00F757F2" w:rsidRDefault="00B40DC6" w:rsidP="000119C5">
            <w:pPr>
              <w:rPr>
                <w:rFonts w:cstheme="minorHAnsi"/>
              </w:rPr>
            </w:pPr>
            <w:r w:rsidRPr="00F757F2">
              <w:rPr>
                <w:rFonts w:cstheme="minorHAnsi"/>
              </w:rPr>
              <w:t>Project (plan 3)</w:t>
            </w:r>
          </w:p>
        </w:tc>
        <w:tc>
          <w:tcPr>
            <w:tcW w:w="1701" w:type="dxa"/>
          </w:tcPr>
          <w:p w14:paraId="76771801" w14:textId="4ECA9AD5" w:rsidR="00B40DC6" w:rsidRPr="00F757F2" w:rsidRDefault="00B40DC6" w:rsidP="004038BE">
            <w:pPr>
              <w:jc w:val="center"/>
              <w:rPr>
                <w:rFonts w:cstheme="minorHAnsi"/>
              </w:rPr>
            </w:pPr>
            <w:r w:rsidRPr="00F757F2">
              <w:rPr>
                <w:rFonts w:cstheme="minorHAnsi"/>
              </w:rPr>
              <w:t>12 miesięcy</w:t>
            </w:r>
          </w:p>
        </w:tc>
        <w:tc>
          <w:tcPr>
            <w:tcW w:w="1559" w:type="dxa"/>
          </w:tcPr>
          <w:p w14:paraId="51E0D859" w14:textId="78967168" w:rsidR="00B40DC6" w:rsidRPr="00F757F2" w:rsidRDefault="0093564A" w:rsidP="004038BE">
            <w:pPr>
              <w:jc w:val="center"/>
              <w:rPr>
                <w:rFonts w:cstheme="minorHAnsi"/>
              </w:rPr>
            </w:pPr>
            <w:r w:rsidRPr="00F757F2">
              <w:rPr>
                <w:rFonts w:cstheme="minorHAnsi"/>
              </w:rPr>
              <w:t>1</w:t>
            </w:r>
          </w:p>
        </w:tc>
      </w:tr>
      <w:tr w:rsidR="00B40DC6" w:rsidRPr="00F757F2" w14:paraId="47210A46" w14:textId="77777777" w:rsidTr="004038BE">
        <w:tc>
          <w:tcPr>
            <w:tcW w:w="590" w:type="dxa"/>
          </w:tcPr>
          <w:p w14:paraId="3FFECDF3" w14:textId="5BB042EB" w:rsidR="00B40DC6" w:rsidRPr="00F757F2" w:rsidRDefault="00144953" w:rsidP="00BF50B2">
            <w:pPr>
              <w:jc w:val="center"/>
              <w:rPr>
                <w:rFonts w:cstheme="minorHAnsi"/>
              </w:rPr>
            </w:pPr>
            <w:r w:rsidRPr="00F757F2">
              <w:rPr>
                <w:rFonts w:cstheme="minorHAnsi"/>
              </w:rPr>
              <w:t>5</w:t>
            </w:r>
            <w:r w:rsidR="00B40DC6" w:rsidRPr="00F757F2">
              <w:rPr>
                <w:rFonts w:cstheme="minorHAnsi"/>
              </w:rPr>
              <w:t>.</w:t>
            </w:r>
          </w:p>
        </w:tc>
        <w:tc>
          <w:tcPr>
            <w:tcW w:w="5047" w:type="dxa"/>
          </w:tcPr>
          <w:p w14:paraId="2D2FC87F" w14:textId="0EA9EC9A" w:rsidR="00B40DC6" w:rsidRPr="00F757F2" w:rsidRDefault="00A72501" w:rsidP="000119C5">
            <w:pPr>
              <w:rPr>
                <w:rFonts w:cstheme="minorHAnsi"/>
              </w:rPr>
            </w:pPr>
            <w:r w:rsidRPr="00F757F2">
              <w:rPr>
                <w:rFonts w:cstheme="minorHAnsi"/>
              </w:rPr>
              <w:t>Project (plan 1)</w:t>
            </w:r>
          </w:p>
        </w:tc>
        <w:tc>
          <w:tcPr>
            <w:tcW w:w="1701" w:type="dxa"/>
          </w:tcPr>
          <w:p w14:paraId="1D2B89E7" w14:textId="5F8F4038" w:rsidR="00B40DC6" w:rsidRPr="00F757F2" w:rsidRDefault="00A72501" w:rsidP="004038BE">
            <w:pPr>
              <w:jc w:val="center"/>
              <w:rPr>
                <w:rFonts w:cstheme="minorHAnsi"/>
              </w:rPr>
            </w:pPr>
            <w:r w:rsidRPr="00F757F2">
              <w:rPr>
                <w:rFonts w:cstheme="minorHAnsi"/>
              </w:rPr>
              <w:t>12 miesięcy</w:t>
            </w:r>
          </w:p>
        </w:tc>
        <w:tc>
          <w:tcPr>
            <w:tcW w:w="1559" w:type="dxa"/>
          </w:tcPr>
          <w:p w14:paraId="2A562DA0" w14:textId="159F8F1F" w:rsidR="00B40DC6" w:rsidRPr="00F757F2" w:rsidRDefault="00A72501" w:rsidP="004038BE">
            <w:pPr>
              <w:jc w:val="center"/>
              <w:rPr>
                <w:rFonts w:cstheme="minorHAnsi"/>
              </w:rPr>
            </w:pPr>
            <w:r w:rsidRPr="00F757F2">
              <w:rPr>
                <w:rFonts w:cstheme="minorHAnsi"/>
              </w:rPr>
              <w:t>1</w:t>
            </w:r>
          </w:p>
        </w:tc>
      </w:tr>
      <w:tr w:rsidR="00A72501" w:rsidRPr="00F757F2" w14:paraId="35A7BA40" w14:textId="77777777" w:rsidTr="004038BE">
        <w:tc>
          <w:tcPr>
            <w:tcW w:w="590" w:type="dxa"/>
          </w:tcPr>
          <w:p w14:paraId="1FED1B31" w14:textId="7BDE14E3" w:rsidR="00A72501" w:rsidRPr="00F757F2" w:rsidRDefault="00144953" w:rsidP="00BF50B2">
            <w:pPr>
              <w:jc w:val="center"/>
              <w:rPr>
                <w:rFonts w:cstheme="minorHAnsi"/>
              </w:rPr>
            </w:pPr>
            <w:r w:rsidRPr="00F757F2">
              <w:rPr>
                <w:rFonts w:cstheme="minorHAnsi"/>
              </w:rPr>
              <w:t>6</w:t>
            </w:r>
            <w:r w:rsidR="00A72501" w:rsidRPr="00F757F2">
              <w:rPr>
                <w:rFonts w:cstheme="minorHAnsi"/>
              </w:rPr>
              <w:t>.</w:t>
            </w:r>
          </w:p>
        </w:tc>
        <w:tc>
          <w:tcPr>
            <w:tcW w:w="5047" w:type="dxa"/>
          </w:tcPr>
          <w:p w14:paraId="6638E165" w14:textId="3DF3E8EB" w:rsidR="00A72501" w:rsidRPr="00F757F2" w:rsidRDefault="00A72501" w:rsidP="000119C5">
            <w:pPr>
              <w:rPr>
                <w:rFonts w:cstheme="minorHAnsi"/>
              </w:rPr>
            </w:pPr>
            <w:r w:rsidRPr="00F757F2">
              <w:rPr>
                <w:rFonts w:cstheme="minorHAnsi"/>
              </w:rPr>
              <w:t>Visio (plan 2)</w:t>
            </w:r>
          </w:p>
        </w:tc>
        <w:tc>
          <w:tcPr>
            <w:tcW w:w="1701" w:type="dxa"/>
          </w:tcPr>
          <w:p w14:paraId="2F2BBB2E" w14:textId="58CE36BB" w:rsidR="00A72501" w:rsidRPr="00F757F2" w:rsidRDefault="00A72501" w:rsidP="004038BE">
            <w:pPr>
              <w:jc w:val="center"/>
              <w:rPr>
                <w:rFonts w:cstheme="minorHAnsi"/>
              </w:rPr>
            </w:pPr>
            <w:r w:rsidRPr="00F757F2">
              <w:rPr>
                <w:rFonts w:cstheme="minorHAnsi"/>
              </w:rPr>
              <w:t>12 miesięcy</w:t>
            </w:r>
          </w:p>
        </w:tc>
        <w:tc>
          <w:tcPr>
            <w:tcW w:w="1559" w:type="dxa"/>
          </w:tcPr>
          <w:p w14:paraId="3BB8A53C" w14:textId="2C0EE3F5" w:rsidR="00A72501" w:rsidRPr="00F757F2" w:rsidRDefault="00BF3B0A" w:rsidP="004038BE">
            <w:pPr>
              <w:jc w:val="center"/>
              <w:rPr>
                <w:rFonts w:cstheme="minorHAnsi"/>
              </w:rPr>
            </w:pPr>
            <w:r w:rsidRPr="00F757F2">
              <w:rPr>
                <w:rFonts w:cstheme="minorHAnsi"/>
              </w:rPr>
              <w:t>4</w:t>
            </w:r>
          </w:p>
        </w:tc>
      </w:tr>
    </w:tbl>
    <w:p w14:paraId="4B45A299" w14:textId="77777777" w:rsidR="00047E72" w:rsidRPr="00F757F2" w:rsidRDefault="00047E72" w:rsidP="000119C5">
      <w:pPr>
        <w:rPr>
          <w:rFonts w:cstheme="minorHAnsi"/>
        </w:rPr>
      </w:pPr>
    </w:p>
    <w:p w14:paraId="0AF76316" w14:textId="61F7F691" w:rsidR="002541D1" w:rsidRPr="00F757F2" w:rsidRDefault="00C43673" w:rsidP="000119C5">
      <w:pPr>
        <w:rPr>
          <w:rFonts w:cstheme="minorHAnsi"/>
        </w:rPr>
      </w:pPr>
      <w:r w:rsidRPr="00F757F2">
        <w:rPr>
          <w:rFonts w:cstheme="minorHAnsi"/>
        </w:rPr>
        <w:t>Dostawa oprogramowania Microsoft 365 Business Standard,</w:t>
      </w:r>
      <w:r w:rsidR="00FF259C" w:rsidRPr="00F757F2">
        <w:rPr>
          <w:rFonts w:cstheme="minorHAnsi"/>
        </w:rPr>
        <w:t xml:space="preserve"> Exchange Online (plan 1), </w:t>
      </w:r>
      <w:r w:rsidRPr="00F757F2">
        <w:rPr>
          <w:rFonts w:cstheme="minorHAnsi"/>
        </w:rPr>
        <w:t xml:space="preserve"> Power BI Pro, Project (plan 3), Project Plan 1 oraz Visio (plan 2) dla Komendy Głównej Państwowej Straży Pożarnej</w:t>
      </w:r>
      <w:r w:rsidR="002541D1" w:rsidRPr="00F757F2">
        <w:rPr>
          <w:rFonts w:cstheme="minorHAnsi"/>
        </w:rPr>
        <w:t>, zgodnie z poniższymi wymaganiami:</w:t>
      </w:r>
    </w:p>
    <w:p w14:paraId="348EF5C2" w14:textId="77777777" w:rsidR="00B96690" w:rsidRPr="00F757F2" w:rsidRDefault="00B96690" w:rsidP="00B96690">
      <w:pPr>
        <w:pStyle w:val="Akapitzlist"/>
        <w:numPr>
          <w:ilvl w:val="0"/>
          <w:numId w:val="3"/>
        </w:numPr>
        <w:rPr>
          <w:rFonts w:cstheme="minorHAnsi"/>
          <w:lang w:val="en-US"/>
        </w:rPr>
      </w:pPr>
      <w:r w:rsidRPr="00F757F2">
        <w:rPr>
          <w:rFonts w:cstheme="minorHAnsi"/>
          <w:lang w:val="en-US"/>
        </w:rPr>
        <w:t>Produkty Standardowe (COTS):</w:t>
      </w:r>
    </w:p>
    <w:p w14:paraId="63C71685" w14:textId="600627F6" w:rsidR="00B96690" w:rsidRPr="00F757F2" w:rsidRDefault="00B96690" w:rsidP="00B96690">
      <w:pPr>
        <w:pStyle w:val="Akapitzlist"/>
        <w:rPr>
          <w:rFonts w:cstheme="minorHAnsi"/>
        </w:rPr>
      </w:pPr>
      <w:r w:rsidRPr="00F757F2">
        <w:rPr>
          <w:rFonts w:cstheme="minorHAnsi"/>
        </w:rPr>
        <w:t>Zamawiający wymaga, aby oferowane produkty były towarami powszechnie dostępnymi na rynku komercyjnym, które są gotowe do użycia bez konieczności przeprowadzania specjalistycznych procesów adaptacji lub konfiguracji. Produkty te powinny być zgodne z klasyfikacją jako 'Commercial off-the-shelf' (COTS) i muszą być wytwarzane oraz dostarczane w sposób zapewniający ich bezpośrednią funkcjonalność z systemami informatycznymi Zamawiającego, bez potrzeby dodatkowego indywidualnego dostosowania czy modyfikacji.</w:t>
      </w:r>
    </w:p>
    <w:p w14:paraId="1840D112" w14:textId="461445C6" w:rsidR="00B96690" w:rsidRPr="00F757F2" w:rsidRDefault="002C08B3" w:rsidP="00B96690">
      <w:pPr>
        <w:pStyle w:val="Akapitzlist"/>
        <w:numPr>
          <w:ilvl w:val="0"/>
          <w:numId w:val="3"/>
        </w:numPr>
        <w:rPr>
          <w:rFonts w:cstheme="minorHAnsi"/>
        </w:rPr>
      </w:pPr>
      <w:r w:rsidRPr="00F757F2">
        <w:rPr>
          <w:rFonts w:cstheme="minorHAnsi"/>
        </w:rPr>
        <w:t>Pochodzenie produktów oraz kwalifikacje Wykonawcy:</w:t>
      </w:r>
      <w:r w:rsidRPr="00F757F2">
        <w:rPr>
          <w:rFonts w:cstheme="minorHAnsi"/>
        </w:rPr>
        <w:br/>
      </w:r>
      <w:r w:rsidR="00341495" w:rsidRPr="00F757F2">
        <w:rPr>
          <w:rFonts w:cstheme="minorHAnsi"/>
        </w:rPr>
        <w:t>Wymagane jest, aby wszystkie produkty objęte niniejszym zamówieniem były nabywane wyłącznie od legalnie działającego Producenta, bądź poprzez kanały dystrybucyjne, które zostały oficjalnie autoryzowane przez Producenta do dystrybucji jego produktów. Dodatkowo, Wykonawca musi wykazać się odpowiednimi kwalifikacjami oraz posiadać wszystkie niezbędne uprawnienia, które są wymagane przez Producenta dla dystrybucji oferowanych produktów i usług, a także dla zapewnienia ich prawidłowej realizacji zgodnie z obowiązującymi standardami i przepisami prawa. Zamawiający zastrzega sobie prawo do weryfikacji statusu prawnego Wykonawcy w zakresie jego autoryzacji przez Producenta oraz do oceny posiadanych przez niego kwalifikacji i uprawnień w kontekście przedmiotu zamówienia.</w:t>
      </w:r>
    </w:p>
    <w:p w14:paraId="3E23603C" w14:textId="2047885F" w:rsidR="00341495" w:rsidRPr="00F757F2" w:rsidRDefault="00DF0CF7" w:rsidP="00B96690">
      <w:pPr>
        <w:pStyle w:val="Akapitzlist"/>
        <w:numPr>
          <w:ilvl w:val="0"/>
          <w:numId w:val="3"/>
        </w:numPr>
        <w:rPr>
          <w:rFonts w:cstheme="minorHAnsi"/>
        </w:rPr>
      </w:pPr>
      <w:r w:rsidRPr="00F757F2">
        <w:rPr>
          <w:rFonts w:cstheme="minorHAnsi"/>
        </w:rPr>
        <w:t xml:space="preserve">Zamawiający stawia wymóg, aby przez całkowity okres korzystania z licencji subskrypcyjnych była zapewniona usługa wsparcia technicznego. Usługa ta musi być realizowana bezpośrednio przez Producenta oferowanych produktów, niezależnie od tego, czy są to produkty marki Microsoft, czy ich równoważniki. Wsparcie techniczne powinno obejmować wszelkie aspekty techniczne, aktualizacje oraz pomoc w rozwiązywaniu problemów związanych z użytkowaniem oprogramowania. Konieczne jest, by świadczenie usługi wsparcia było nieprzerwane i </w:t>
      </w:r>
      <w:r w:rsidRPr="00F757F2">
        <w:rPr>
          <w:rFonts w:cstheme="minorHAnsi"/>
        </w:rPr>
        <w:lastRenderedPageBreak/>
        <w:t>dostosowane do specyficznych potrzeb Zamawiającego, co powinno być zagwarantowane w warunkach umowy licencyjnej.</w:t>
      </w:r>
    </w:p>
    <w:p w14:paraId="1F03B9D0" w14:textId="641D5583" w:rsidR="00DF0CF7" w:rsidRPr="00F757F2" w:rsidRDefault="00173F05" w:rsidP="00B96690">
      <w:pPr>
        <w:pStyle w:val="Akapitzlist"/>
        <w:numPr>
          <w:ilvl w:val="0"/>
          <w:numId w:val="3"/>
        </w:numPr>
        <w:rPr>
          <w:rFonts w:cstheme="minorHAnsi"/>
        </w:rPr>
      </w:pPr>
      <w:r w:rsidRPr="00F757F2">
        <w:rPr>
          <w:rFonts w:cstheme="minorHAnsi"/>
        </w:rPr>
        <w:t>Zamawiający dopuszcza możliwość oferowania produktów, które posiadają szerszy zakres funkcjonalny niż minimalnie wymagany. Wykonawcy mogą przedstawić propozycje produktów, które przekraczają podstawowe wymagania funkcjonalne określone przez Zamawiającego, pod warunkiem, że rozszerzenia te przynoszą dodatkową wartość oraz są kompatybilne z istniejącymi systemami i procesami w Komendzie Głównej Państwowej Straży Pożarnej. Rozszerzone funkcjonalności nie mogą jednak prowadzić do niepotrzebnych komplikacji w użytkowaniu lub utrzymaniu tych produktów, a wszelkie dodatkowe funkcje muszą być jasno określone i opisane w ofercie, aby umożliwić Zamawiającemu dokładną ocenę ich przydatności oraz wpływu na realizację zadań operacyjnych.</w:t>
      </w:r>
    </w:p>
    <w:p w14:paraId="7BCB9791" w14:textId="5E2C8430" w:rsidR="005D0D4F" w:rsidRPr="00F757F2" w:rsidRDefault="005D0D4F" w:rsidP="00B96690">
      <w:pPr>
        <w:pStyle w:val="Akapitzlist"/>
        <w:numPr>
          <w:ilvl w:val="0"/>
          <w:numId w:val="3"/>
        </w:numPr>
        <w:rPr>
          <w:rFonts w:cstheme="minorHAnsi"/>
        </w:rPr>
      </w:pPr>
      <w:r w:rsidRPr="00F757F2">
        <w:rPr>
          <w:rFonts w:cstheme="minorHAnsi"/>
        </w:rPr>
        <w:t>Wszystkie dostarczane produkty i świadczone usługi w ramach niniejszego zamówienia muszą być zgodne z wymogami Rozporządzenia Parlamentu Europejskiego i Rady (UE) 2016/679 z dnia 27 kwietnia 2016 r., znanego również jako Ogólne Rozporządzenie o Ochronie Danych (RODO). Oznacza to, że każdy aspekt produktów i usług, w tym sposób ich przetwarzania, przechowywania i zarządzania danymi osobowymi, musi być realizowany w sposób zapewniający pełną ochronę danych osobowych, zgodnie z zasadami określonymi w RODO. W szczególności, produkty i usługi te muszą umożliwić Zamawiającemu realizację obowiązków związanych z ochroną danych osobowych, w tym zapewnić możliwość dokonywania odpowiednich działań w przypadku wykrycia naruszeń bezpieczeństwa danych.</w:t>
      </w:r>
    </w:p>
    <w:p w14:paraId="331EF8B7" w14:textId="35B27640" w:rsidR="00A4123A" w:rsidRPr="00F757F2" w:rsidRDefault="00A4123A" w:rsidP="00A32C94">
      <w:pPr>
        <w:pStyle w:val="Akapitzlist"/>
        <w:numPr>
          <w:ilvl w:val="0"/>
          <w:numId w:val="3"/>
        </w:numPr>
        <w:rPr>
          <w:rFonts w:cstheme="minorHAnsi"/>
        </w:rPr>
      </w:pPr>
      <w:r w:rsidRPr="00F757F2">
        <w:rPr>
          <w:rFonts w:cstheme="minorHAnsi"/>
        </w:rPr>
        <w:t>Wymogi dla Produktów Równoważnych i Warunki Migracji:</w:t>
      </w:r>
      <w:r w:rsidR="00A32C94" w:rsidRPr="00F757F2">
        <w:rPr>
          <w:rFonts w:cstheme="minorHAnsi"/>
        </w:rPr>
        <w:br/>
      </w:r>
      <w:r w:rsidRPr="00F757F2">
        <w:rPr>
          <w:rFonts w:cstheme="minorHAnsi"/>
        </w:rPr>
        <w:t>W sytuacji, gdy Wykonawca zaoferuje produkty równoważne, Zamawiający stawia dodatkowe wymagania, które muszą zostać spełnione:</w:t>
      </w:r>
    </w:p>
    <w:p w14:paraId="3BA855D0" w14:textId="77777777" w:rsidR="00A87C24" w:rsidRPr="00F757F2" w:rsidRDefault="00A4123A" w:rsidP="00A87C24">
      <w:pPr>
        <w:pStyle w:val="Akapitzlist"/>
        <w:numPr>
          <w:ilvl w:val="1"/>
          <w:numId w:val="3"/>
        </w:numPr>
        <w:rPr>
          <w:rFonts w:cstheme="minorHAnsi"/>
        </w:rPr>
      </w:pPr>
      <w:r w:rsidRPr="00F757F2">
        <w:rPr>
          <w:rFonts w:cstheme="minorHAnsi"/>
        </w:rPr>
        <w:t>Usługa Wsparcia: Wykonawca jest zobowiązany do zapewnienia warunków i zakresu usługi wsparcia technicznego dla oferowanych produktów równoważnych, które nie będą gorsze niż te oferowane przez Producenta Microsoft dla odpowiadających im produktów.</w:t>
      </w:r>
    </w:p>
    <w:p w14:paraId="18FBFBB3" w14:textId="77777777" w:rsidR="00A87C24" w:rsidRPr="00F757F2" w:rsidRDefault="00A4123A" w:rsidP="00A87C24">
      <w:pPr>
        <w:pStyle w:val="Akapitzlist"/>
        <w:numPr>
          <w:ilvl w:val="1"/>
          <w:numId w:val="3"/>
        </w:numPr>
        <w:rPr>
          <w:rFonts w:cstheme="minorHAnsi"/>
        </w:rPr>
      </w:pPr>
      <w:r w:rsidRPr="00F757F2">
        <w:rPr>
          <w:rFonts w:cstheme="minorHAnsi"/>
        </w:rPr>
        <w:t>Warunki Licencji: Licencje na produkty równoważne muszą być co najmniej tak samo korzystne dla Zamawiającego, jak warunki licencji oferowane przez Producenta Microsoft, we wszystkich aspektach licencjonowania.</w:t>
      </w:r>
    </w:p>
    <w:p w14:paraId="1085E20C" w14:textId="77777777" w:rsidR="00A87C24" w:rsidRPr="00F757F2" w:rsidRDefault="00A4123A" w:rsidP="00A87C24">
      <w:pPr>
        <w:pStyle w:val="Akapitzlist"/>
        <w:numPr>
          <w:ilvl w:val="1"/>
          <w:numId w:val="3"/>
        </w:numPr>
        <w:rPr>
          <w:rFonts w:cstheme="minorHAnsi"/>
        </w:rPr>
      </w:pPr>
      <w:r w:rsidRPr="00F757F2">
        <w:rPr>
          <w:rFonts w:cstheme="minorHAnsi"/>
        </w:rPr>
        <w:t>Funkcjonalność Produktów: Wykonawca musi wykazać, że funkcjonalność każdego oferowanego produktu równoważnego jest nie gorsza niż funkcjonalność odpowiedniego produktu oferowanego przez Producenta Microsoft.</w:t>
      </w:r>
    </w:p>
    <w:p w14:paraId="0847889E" w14:textId="06E8154D" w:rsidR="005D0D4F" w:rsidRPr="00F757F2" w:rsidRDefault="00A4123A" w:rsidP="00A87C24">
      <w:pPr>
        <w:pStyle w:val="Akapitzlist"/>
        <w:rPr>
          <w:rFonts w:cstheme="minorHAnsi"/>
        </w:rPr>
      </w:pPr>
      <w:r w:rsidRPr="00F757F2">
        <w:rPr>
          <w:rFonts w:cstheme="minorHAnsi"/>
        </w:rPr>
        <w:t>Dodatkowo, w przypadku decyzji o migracji na produkty równoważne, proces ten musi zostać przeprowadzony w sposób, który nie zakłóci ciągłego funkcjonowania pracy Komendy Głównej Państwowej Straży Pożarnej, w tym pracy i nieprzerwanego funkcjonowania stanowiska kierowania Komendanta Głównego PSP. Całkowity czas migracji nie może przekroczyć 7 dni od momentu podpisania umowy, a wszelkie działania muszą być wykonane z zachowaniem najwyższych standardów bezpieczeństwa i efektywności operacyjnej.</w:t>
      </w:r>
    </w:p>
    <w:p w14:paraId="082BF6EC" w14:textId="713BE487" w:rsidR="00A87C24" w:rsidRPr="00F757F2" w:rsidRDefault="006D03F8" w:rsidP="006D03F8">
      <w:pPr>
        <w:pStyle w:val="Akapitzlist"/>
        <w:numPr>
          <w:ilvl w:val="0"/>
          <w:numId w:val="3"/>
        </w:numPr>
        <w:rPr>
          <w:rFonts w:cstheme="minorHAnsi"/>
        </w:rPr>
      </w:pPr>
      <w:r w:rsidRPr="00F757F2">
        <w:rPr>
          <w:rFonts w:cstheme="minorHAnsi"/>
        </w:rPr>
        <w:t xml:space="preserve">Szkolenie Pracowników Zamawiającego: </w:t>
      </w:r>
      <w:r w:rsidR="00605894" w:rsidRPr="00F757F2">
        <w:rPr>
          <w:rFonts w:cstheme="minorHAnsi"/>
        </w:rPr>
        <w:br/>
      </w:r>
      <w:r w:rsidRPr="00F757F2">
        <w:rPr>
          <w:rFonts w:cstheme="minorHAnsi"/>
        </w:rPr>
        <w:t xml:space="preserve">Wykonawca jest zobowiązany, na żądanie Zamawiającego, do przeprowadzenia szkolenia dla pracowników Komendy Głównej Państwowej Straży Pożarnej w zakresie funkcjonalności i obsługi oferowanych Produktów równoważnych. Termin realizacji tego szkolenia będzie ustalany wspólnie z Zamawiającym, jednakże musi być ono zrealizowane nie później niż w ciągu 7 dni </w:t>
      </w:r>
      <w:r w:rsidRPr="00F757F2">
        <w:rPr>
          <w:rFonts w:cstheme="minorHAnsi"/>
        </w:rPr>
        <w:lastRenderedPageBreak/>
        <w:t>kalendarzowych od daty zawarcia umowy. Szkolenie to powinno obejmować wszystkie kluczowe aspekty operacyjne produktów, umożliwiając pracownikom KG PSP pełne wykorzystanie ich potencjału i funkcjonalności. Wykonawca jest odpowiedzialny za zapewnienie, że szkolenie będzie prowadzone przez kompetentnych i doświadczonych trenerów, oraz że będzie ono dostosowane do specyficznych potrzeb i poziomu wiedzy uczestników.</w:t>
      </w:r>
    </w:p>
    <w:p w14:paraId="41C08D56" w14:textId="21BB1611" w:rsidR="00803C02" w:rsidRPr="00F757F2" w:rsidRDefault="00E168BB" w:rsidP="00E168BB">
      <w:pPr>
        <w:pStyle w:val="Akapitzlist"/>
        <w:numPr>
          <w:ilvl w:val="0"/>
          <w:numId w:val="3"/>
        </w:numPr>
        <w:rPr>
          <w:rFonts w:cstheme="minorHAnsi"/>
        </w:rPr>
      </w:pPr>
      <w:r w:rsidRPr="00F757F2">
        <w:rPr>
          <w:rFonts w:cstheme="minorHAnsi"/>
        </w:rPr>
        <w:t xml:space="preserve">Wymagania dotyczące jednolitości produktów równoważnych: </w:t>
      </w:r>
      <w:r w:rsidR="00605894" w:rsidRPr="00F757F2">
        <w:rPr>
          <w:rFonts w:cstheme="minorHAnsi"/>
        </w:rPr>
        <w:br/>
      </w:r>
      <w:r w:rsidRPr="00F757F2">
        <w:rPr>
          <w:rFonts w:cstheme="minorHAnsi"/>
        </w:rPr>
        <w:t>Z uwagi na aspekty kosztowe związane z ewentualną zmianą rozwiązań oferowanych przez Producenta Microsoft na produkty równoważne, Zamawiający wymaga, aby wszystkie proponowane produkty równoważne pochodziły od jednego producenta. Jest to konieczne, aby zapewnić możliwość wykorzystania wspólnych i jednolitych procedur w obszarach takich jak masowa instalacja, uaktualnianie, zarządzanie oraz monitorowanie tych produktów. Dzięki temu Zamawiający będzie mógł uniknąć złożoności operacyjnej i dodatkowych kosztów związanych z obsługą wielu niezintegrowanych systemów od różnych producentów. Jednolity charakter produktów równoważnych powinien zatem gwarantować ich pełną interoperacyjność i efektywność w ramach istniejącej infrastruktury IT KG PSP.</w:t>
      </w:r>
    </w:p>
    <w:p w14:paraId="3A036C22" w14:textId="77777777" w:rsidR="00605894" w:rsidRPr="00F757F2" w:rsidRDefault="00605894" w:rsidP="001D5DAF">
      <w:pPr>
        <w:rPr>
          <w:rFonts w:cstheme="minorHAnsi"/>
          <w:b/>
          <w:bCs/>
        </w:rPr>
      </w:pPr>
    </w:p>
    <w:p w14:paraId="07BEEC7E" w14:textId="214A49F1" w:rsidR="00E168BB" w:rsidRPr="00F757F2" w:rsidRDefault="001D5DAF" w:rsidP="001D5DAF">
      <w:pPr>
        <w:rPr>
          <w:rFonts w:cstheme="minorHAnsi"/>
          <w:b/>
          <w:bCs/>
        </w:rPr>
      </w:pPr>
      <w:r w:rsidRPr="00F757F2">
        <w:rPr>
          <w:rFonts w:cstheme="minorHAnsi"/>
          <w:b/>
          <w:bCs/>
        </w:rPr>
        <w:t>Informacje dotyczące produktów równoważnych - warunki równoważności produktów</w:t>
      </w:r>
    </w:p>
    <w:p w14:paraId="707E949D" w14:textId="77777777" w:rsidR="00AC7D0E" w:rsidRPr="00F757F2" w:rsidRDefault="00AC7D0E" w:rsidP="00AC7D0E">
      <w:pPr>
        <w:rPr>
          <w:rFonts w:cstheme="minorHAnsi"/>
          <w:b/>
          <w:bCs/>
        </w:rPr>
      </w:pPr>
      <w:r w:rsidRPr="00F757F2">
        <w:rPr>
          <w:rFonts w:cstheme="minorHAnsi"/>
          <w:b/>
          <w:bCs/>
        </w:rPr>
        <w:t>Warunki Równoważności dla Produktów Równoważnych do Exchange Online (plan 1):</w:t>
      </w:r>
    </w:p>
    <w:p w14:paraId="14B2446E" w14:textId="77777777" w:rsidR="00AC7D0E" w:rsidRPr="00F757F2" w:rsidRDefault="00AC7D0E" w:rsidP="00C41150">
      <w:pPr>
        <w:rPr>
          <w:rFonts w:cstheme="minorHAnsi"/>
        </w:rPr>
      </w:pPr>
      <w:r w:rsidRPr="00F757F2">
        <w:rPr>
          <w:rFonts w:cstheme="minorHAnsi"/>
        </w:rPr>
        <w:t>W przypadku oferowania produktów równoważnych do Exchange Online (plan 1), Zamawiający wymaga, aby licencja subskrypcyjna spełniała następujące minimalne kryteria funkcjonalne:</w:t>
      </w:r>
    </w:p>
    <w:p w14:paraId="62362D59" w14:textId="77777777" w:rsidR="00AC7D0E" w:rsidRPr="00F757F2" w:rsidRDefault="00AC7D0E" w:rsidP="00AC7D0E">
      <w:pPr>
        <w:pStyle w:val="Akapitzlist"/>
        <w:numPr>
          <w:ilvl w:val="0"/>
          <w:numId w:val="4"/>
        </w:numPr>
        <w:rPr>
          <w:rFonts w:cstheme="minorHAnsi"/>
        </w:rPr>
      </w:pPr>
      <w:r w:rsidRPr="00F757F2">
        <w:rPr>
          <w:rFonts w:cstheme="minorHAnsi"/>
        </w:rPr>
        <w:t>Pojemność Skrzynki Pocztowej: Zapewnienie hosting poczty e-mail w skrzynce pocztowej o pojemności minimum 50 GB.</w:t>
      </w:r>
    </w:p>
    <w:p w14:paraId="0941E314" w14:textId="77777777" w:rsidR="00AC7D0E" w:rsidRPr="00F757F2" w:rsidRDefault="00AC7D0E" w:rsidP="00AC7D0E">
      <w:pPr>
        <w:pStyle w:val="Akapitzlist"/>
        <w:numPr>
          <w:ilvl w:val="0"/>
          <w:numId w:val="4"/>
        </w:numPr>
        <w:rPr>
          <w:rFonts w:cstheme="minorHAnsi"/>
        </w:rPr>
      </w:pPr>
      <w:r w:rsidRPr="00F757F2">
        <w:rPr>
          <w:rFonts w:cstheme="minorHAnsi"/>
        </w:rPr>
        <w:t>Dostępność Poczty E-mail: Poczta e-mail klasy biznesowej musi być dostępna na urządzeniach mobilnych (telefony, tablety), komputerach oraz przez przeglądarkę internetową.</w:t>
      </w:r>
    </w:p>
    <w:p w14:paraId="0961DDCC" w14:textId="77777777" w:rsidR="00AC7D0E" w:rsidRPr="00F757F2" w:rsidRDefault="00AC7D0E" w:rsidP="00AC7D0E">
      <w:pPr>
        <w:pStyle w:val="Akapitzlist"/>
        <w:numPr>
          <w:ilvl w:val="0"/>
          <w:numId w:val="4"/>
        </w:numPr>
        <w:rPr>
          <w:rFonts w:cstheme="minorHAnsi"/>
        </w:rPr>
      </w:pPr>
      <w:r w:rsidRPr="00F757F2">
        <w:rPr>
          <w:rFonts w:cstheme="minorHAnsi"/>
        </w:rPr>
        <w:t>Zarządzanie Kalendarzem: Funkcjonalność zarządzania kalendarzem, w tym udostępnianie wolnych terminów spotkań, planowanie spotkań oraz przypomnienia.</w:t>
      </w:r>
    </w:p>
    <w:p w14:paraId="655B5635" w14:textId="77777777" w:rsidR="00AC7D0E" w:rsidRPr="00F757F2" w:rsidRDefault="00AC7D0E" w:rsidP="00AC7D0E">
      <w:pPr>
        <w:pStyle w:val="Akapitzlist"/>
        <w:numPr>
          <w:ilvl w:val="0"/>
          <w:numId w:val="4"/>
        </w:numPr>
        <w:rPr>
          <w:rFonts w:cstheme="minorHAnsi"/>
        </w:rPr>
      </w:pPr>
      <w:r w:rsidRPr="00F757F2">
        <w:rPr>
          <w:rFonts w:cstheme="minorHAnsi"/>
        </w:rPr>
        <w:t>Udostępnianie Kalendarzy: Możliwość udostępniania kalendarzy między użytkownikami.</w:t>
      </w:r>
    </w:p>
    <w:p w14:paraId="38A0A51A" w14:textId="77777777" w:rsidR="00AC7D0E" w:rsidRPr="00F757F2" w:rsidRDefault="00AC7D0E" w:rsidP="00AC7D0E">
      <w:pPr>
        <w:pStyle w:val="Akapitzlist"/>
        <w:numPr>
          <w:ilvl w:val="0"/>
          <w:numId w:val="4"/>
        </w:numPr>
        <w:rPr>
          <w:rFonts w:cstheme="minorHAnsi"/>
        </w:rPr>
      </w:pPr>
      <w:r w:rsidRPr="00F757F2">
        <w:rPr>
          <w:rFonts w:cstheme="minorHAnsi"/>
        </w:rPr>
        <w:t>Zarządzanie Kontami E-mail: Możliwość dodawania nowych kont e-mail, usuwania i przywracania usuniętych kont e-mail.</w:t>
      </w:r>
    </w:p>
    <w:p w14:paraId="16B07B3F" w14:textId="77777777" w:rsidR="00AC7D0E" w:rsidRPr="00F757F2" w:rsidRDefault="00AC7D0E" w:rsidP="00AC7D0E">
      <w:pPr>
        <w:pStyle w:val="Akapitzlist"/>
        <w:numPr>
          <w:ilvl w:val="0"/>
          <w:numId w:val="4"/>
        </w:numPr>
        <w:rPr>
          <w:rFonts w:cstheme="minorHAnsi"/>
        </w:rPr>
      </w:pPr>
      <w:r w:rsidRPr="00F757F2">
        <w:rPr>
          <w:rFonts w:cstheme="minorHAnsi"/>
        </w:rPr>
        <w:t>Ochrona Poczty E-mail: Zapewnienie ochrony poczty e-mail przed spamem, złośliwym oprogramowaniem i znanymi zagrożeniami.</w:t>
      </w:r>
    </w:p>
    <w:p w14:paraId="1EC8C6D6" w14:textId="77777777" w:rsidR="00AC7D0E" w:rsidRPr="00F757F2" w:rsidRDefault="00AC7D0E" w:rsidP="00AC7D0E">
      <w:pPr>
        <w:pStyle w:val="Akapitzlist"/>
        <w:numPr>
          <w:ilvl w:val="0"/>
          <w:numId w:val="4"/>
        </w:numPr>
        <w:rPr>
          <w:rFonts w:cstheme="minorHAnsi"/>
        </w:rPr>
      </w:pPr>
      <w:r w:rsidRPr="00F757F2">
        <w:rPr>
          <w:rFonts w:cstheme="minorHAnsi"/>
        </w:rPr>
        <w:t>Grupy Zabezpieczeń i Uprawnienia: Tworzenie grup zabezpieczeń i przyznawanie uprawnień określonym użytkownikom.</w:t>
      </w:r>
    </w:p>
    <w:p w14:paraId="3FBE7923" w14:textId="77777777" w:rsidR="00AC7D0E" w:rsidRPr="00F757F2" w:rsidRDefault="00AC7D0E" w:rsidP="00AC7D0E">
      <w:pPr>
        <w:pStyle w:val="Akapitzlist"/>
        <w:numPr>
          <w:ilvl w:val="0"/>
          <w:numId w:val="4"/>
        </w:numPr>
        <w:rPr>
          <w:rFonts w:cstheme="minorHAnsi"/>
        </w:rPr>
      </w:pPr>
      <w:r w:rsidRPr="00F757F2">
        <w:rPr>
          <w:rFonts w:cstheme="minorHAnsi"/>
        </w:rPr>
        <w:t>Zarządzanie Zasadami Haseł: Możliwość tworzenia zasad dotyczących haseł, w tym wymuszania zmiany haseł po upływie określonej liczby dni.</w:t>
      </w:r>
    </w:p>
    <w:p w14:paraId="11CDE1C8" w14:textId="77777777" w:rsidR="00AC7D0E" w:rsidRPr="00F757F2" w:rsidRDefault="00AC7D0E" w:rsidP="00AC7D0E">
      <w:pPr>
        <w:pStyle w:val="Akapitzlist"/>
        <w:numPr>
          <w:ilvl w:val="0"/>
          <w:numId w:val="4"/>
        </w:numPr>
        <w:rPr>
          <w:rFonts w:cstheme="minorHAnsi"/>
        </w:rPr>
      </w:pPr>
      <w:r w:rsidRPr="00F757F2">
        <w:rPr>
          <w:rFonts w:cstheme="minorHAnsi"/>
        </w:rPr>
        <w:t>Wsparcie Techniczne: Dostęp do pomocy technicznej telefonicznie lub za pośrednictwem Internetu w dowolnym momencie.</w:t>
      </w:r>
    </w:p>
    <w:p w14:paraId="272AD70B" w14:textId="77777777" w:rsidR="00AC7D0E" w:rsidRPr="00F757F2" w:rsidRDefault="00AC7D0E" w:rsidP="00AC7D0E">
      <w:pPr>
        <w:pStyle w:val="Akapitzlist"/>
        <w:numPr>
          <w:ilvl w:val="0"/>
          <w:numId w:val="4"/>
        </w:numPr>
        <w:rPr>
          <w:rFonts w:cstheme="minorHAnsi"/>
        </w:rPr>
      </w:pPr>
      <w:r w:rsidRPr="00F757F2">
        <w:rPr>
          <w:rFonts w:cstheme="minorHAnsi"/>
        </w:rPr>
        <w:t>Uwierzytelnianie Wieloskładnikowe (MFA): Wymagane jest udostępnienie opcji uwierzytelniania wieloskładnikowego dla dodatkowego bezpieczeństwa.</w:t>
      </w:r>
    </w:p>
    <w:p w14:paraId="5EA36CB1" w14:textId="5BC7A6DA" w:rsidR="00AC7D0E" w:rsidRPr="00F757F2" w:rsidRDefault="00AC7D0E" w:rsidP="00AC7D0E">
      <w:pPr>
        <w:pStyle w:val="Akapitzlist"/>
        <w:numPr>
          <w:ilvl w:val="0"/>
          <w:numId w:val="4"/>
        </w:numPr>
        <w:rPr>
          <w:rFonts w:cstheme="minorHAnsi"/>
        </w:rPr>
      </w:pPr>
      <w:r w:rsidRPr="00F757F2">
        <w:rPr>
          <w:rFonts w:cstheme="minorHAnsi"/>
        </w:rPr>
        <w:t>Czas Bezawaryjnej Pracy: Gwarancja czasu bezawaryjnej pracy usługi na poziomie 99,9%.</w:t>
      </w:r>
    </w:p>
    <w:p w14:paraId="372546EB" w14:textId="37FEDE57" w:rsidR="00AC7D0E" w:rsidRPr="00F757F2" w:rsidRDefault="00702F9F" w:rsidP="001D5DAF">
      <w:pPr>
        <w:rPr>
          <w:rFonts w:cstheme="minorHAnsi"/>
          <w:b/>
          <w:bCs/>
        </w:rPr>
      </w:pPr>
      <w:r w:rsidRPr="00F757F2">
        <w:rPr>
          <w:rFonts w:cstheme="minorHAnsi"/>
          <w:b/>
          <w:bCs/>
        </w:rPr>
        <w:t>Warunki Równoważności dla Produktów Równoważnych do Microsoft 365 Business Standard:</w:t>
      </w:r>
    </w:p>
    <w:p w14:paraId="0F2E0119" w14:textId="5E05DAFF" w:rsidR="00702F9F" w:rsidRPr="00F757F2" w:rsidRDefault="00702F9F" w:rsidP="001D5DAF">
      <w:pPr>
        <w:rPr>
          <w:rFonts w:cstheme="minorHAnsi"/>
        </w:rPr>
      </w:pPr>
      <w:r w:rsidRPr="00F757F2">
        <w:rPr>
          <w:rFonts w:cstheme="minorHAnsi"/>
        </w:rPr>
        <w:lastRenderedPageBreak/>
        <w:t>W przypadku oferowania produktów równoważnych do Microsoft 365 Business Standard, Zamawiający wymaga, aby licencja subskrypcyjna spełniała następujące minimalne kryteria funkcjonalne:</w:t>
      </w:r>
    </w:p>
    <w:p w14:paraId="62C0C48F" w14:textId="77777777" w:rsidR="00CE4F1A" w:rsidRPr="00F757F2" w:rsidRDefault="00CE4F1A" w:rsidP="00CE4F1A">
      <w:pPr>
        <w:pStyle w:val="Akapitzlist"/>
        <w:numPr>
          <w:ilvl w:val="0"/>
          <w:numId w:val="5"/>
        </w:numPr>
        <w:rPr>
          <w:rFonts w:cstheme="minorHAnsi"/>
        </w:rPr>
      </w:pPr>
      <w:r w:rsidRPr="00F757F2">
        <w:rPr>
          <w:rFonts w:cstheme="minorHAnsi"/>
        </w:rPr>
        <w:t>Dostęp do Aplikacji Pakietu Biurowego: Zapewnienie dostępu do wersji internetowych i mobilnych aplikacji pakietu biurowego, który obejmuje:</w:t>
      </w:r>
    </w:p>
    <w:p w14:paraId="18418C20" w14:textId="77777777" w:rsidR="00CE4F1A" w:rsidRPr="00F757F2" w:rsidRDefault="00CE4F1A" w:rsidP="00CE4F1A">
      <w:pPr>
        <w:pStyle w:val="Akapitzlist"/>
        <w:numPr>
          <w:ilvl w:val="0"/>
          <w:numId w:val="6"/>
        </w:numPr>
        <w:rPr>
          <w:rFonts w:cstheme="minorHAnsi"/>
        </w:rPr>
      </w:pPr>
      <w:r w:rsidRPr="00F757F2">
        <w:rPr>
          <w:rFonts w:cstheme="minorHAnsi"/>
        </w:rPr>
        <w:t>Edytor Tekstów: Umożliwiający tworzenie, edytowanie i udostępnianie dokumentów tekstowych.</w:t>
      </w:r>
    </w:p>
    <w:p w14:paraId="25A969DD" w14:textId="77777777" w:rsidR="00CE4F1A" w:rsidRPr="00F757F2" w:rsidRDefault="00CE4F1A" w:rsidP="00CE4F1A">
      <w:pPr>
        <w:pStyle w:val="Akapitzlist"/>
        <w:numPr>
          <w:ilvl w:val="0"/>
          <w:numId w:val="6"/>
        </w:numPr>
        <w:rPr>
          <w:rFonts w:cstheme="minorHAnsi"/>
        </w:rPr>
      </w:pPr>
      <w:r w:rsidRPr="00F757F2">
        <w:rPr>
          <w:rFonts w:cstheme="minorHAnsi"/>
        </w:rPr>
        <w:t>Arkusz Kalkulacyjny: Narzędzie umożliwiające analizę danych, tworzenie tabel i wykresów.</w:t>
      </w:r>
    </w:p>
    <w:p w14:paraId="6F4F0CA3" w14:textId="77777777" w:rsidR="00CE4F1A" w:rsidRPr="00F757F2" w:rsidRDefault="00CE4F1A" w:rsidP="00CE4F1A">
      <w:pPr>
        <w:pStyle w:val="Akapitzlist"/>
        <w:numPr>
          <w:ilvl w:val="0"/>
          <w:numId w:val="6"/>
        </w:numPr>
        <w:rPr>
          <w:rFonts w:cstheme="minorHAnsi"/>
        </w:rPr>
      </w:pPr>
      <w:r w:rsidRPr="00F757F2">
        <w:rPr>
          <w:rFonts w:cstheme="minorHAnsi"/>
        </w:rPr>
        <w:t>Narzędzie do Przygotowywania i Prowadzenia Prezentacji: Umożliwiające tworzenie dynamicznych i interaktywnych prezentacji.</w:t>
      </w:r>
    </w:p>
    <w:p w14:paraId="5E08EDFF" w14:textId="120D694E" w:rsidR="00CE4F1A" w:rsidRPr="00F757F2" w:rsidRDefault="00CE4F1A" w:rsidP="00CE4F1A">
      <w:pPr>
        <w:pStyle w:val="Akapitzlist"/>
        <w:numPr>
          <w:ilvl w:val="0"/>
          <w:numId w:val="6"/>
        </w:numPr>
        <w:rPr>
          <w:rFonts w:cstheme="minorHAnsi"/>
        </w:rPr>
      </w:pPr>
      <w:r w:rsidRPr="00F757F2">
        <w:rPr>
          <w:rFonts w:cstheme="minorHAnsi"/>
        </w:rPr>
        <w:t>Narzędzie do Zarządzania Informacją Prywatną: Obejmujące pocztę elektroniczną, kalendarz, kontakty oraz zadania, umożliwiające efektywne zarządzanie informacjami osobistymi i zawodowymi.</w:t>
      </w:r>
    </w:p>
    <w:p w14:paraId="7DC60E36" w14:textId="30581611" w:rsidR="00CE4F1A" w:rsidRPr="00F757F2" w:rsidRDefault="00111A64" w:rsidP="00CE4F1A">
      <w:pPr>
        <w:pStyle w:val="Akapitzlist"/>
        <w:numPr>
          <w:ilvl w:val="0"/>
          <w:numId w:val="5"/>
        </w:numPr>
        <w:rPr>
          <w:rFonts w:cstheme="minorHAnsi"/>
        </w:rPr>
      </w:pPr>
      <w:r w:rsidRPr="00F757F2">
        <w:rPr>
          <w:rFonts w:cstheme="minorHAnsi"/>
        </w:rPr>
        <w:t xml:space="preserve">Zawsze Aktualne Wersje Aplikacji: </w:t>
      </w:r>
      <w:r w:rsidR="00605894" w:rsidRPr="00F757F2">
        <w:rPr>
          <w:rFonts w:cstheme="minorHAnsi"/>
        </w:rPr>
        <w:br/>
      </w:r>
      <w:r w:rsidRPr="00F757F2">
        <w:rPr>
          <w:rFonts w:cstheme="minorHAnsi"/>
        </w:rPr>
        <w:t>Wykonawca musi zapewnić, że oferowane w ramach licencji subskrypcyjnej aplikacje będą zawsze aktualne, co oznacza regularne aktualizacje zarówno pod kątem zabezpieczeń, jak i nowych funkcji. Dostępność najnowszych wersji aplikacji internetowych powinna być gwarantowana bez dodatkowych opłat, zapewniając użytkownikom dostęp do najnowszych technologii i narzędzi, które umożliwiają efektywną i bezpieczną pracę.</w:t>
      </w:r>
    </w:p>
    <w:p w14:paraId="0A98CD64" w14:textId="1C28CD8E" w:rsidR="00111A64" w:rsidRPr="00F757F2" w:rsidRDefault="00BC6DFF" w:rsidP="00CE4F1A">
      <w:pPr>
        <w:pStyle w:val="Akapitzlist"/>
        <w:numPr>
          <w:ilvl w:val="0"/>
          <w:numId w:val="5"/>
        </w:numPr>
        <w:rPr>
          <w:rFonts w:cstheme="minorHAnsi"/>
        </w:rPr>
      </w:pPr>
      <w:r w:rsidRPr="00F757F2">
        <w:rPr>
          <w:rFonts w:cstheme="minorHAnsi"/>
        </w:rPr>
        <w:t>Jednoczesna Praca Wielu Użytkowników nad Tym Samym Dokumentem w Czasie Rzeczywistym:</w:t>
      </w:r>
      <w:r w:rsidR="00605894" w:rsidRPr="00F757F2">
        <w:rPr>
          <w:rFonts w:cstheme="minorHAnsi"/>
        </w:rPr>
        <w:br/>
      </w:r>
      <w:r w:rsidRPr="00F757F2">
        <w:rPr>
          <w:rFonts w:cstheme="minorHAnsi"/>
        </w:rPr>
        <w:t>Produkty równoważne muszą umożliwiać użytkownikom równoczesną pracę nad tym samym dokumentem, co oznacza, że kilka osób powinno móc jednocześnie edytować ten sam plik (np. dokument tekstowy, arkusz kalkulacyjny, prezentację), a zmiany wprowadzane przez każdego z użytkowników powinny być widoczne na bieżąco dla innych współpracujących osób. Ta funkcjonalność jest kluczowa do wspierania pracy zespołowej i efektywnej współpracy, szczególnie w środowisku zdalnym lub hybrydowym.</w:t>
      </w:r>
    </w:p>
    <w:p w14:paraId="5B87AA93" w14:textId="64628944" w:rsidR="00BC6DFF" w:rsidRPr="00F757F2" w:rsidRDefault="00326BB0" w:rsidP="00CE4F1A">
      <w:pPr>
        <w:pStyle w:val="Akapitzlist"/>
        <w:numPr>
          <w:ilvl w:val="0"/>
          <w:numId w:val="5"/>
        </w:numPr>
        <w:rPr>
          <w:rFonts w:cstheme="minorHAnsi"/>
        </w:rPr>
      </w:pPr>
      <w:r w:rsidRPr="00F757F2">
        <w:rPr>
          <w:rFonts w:cstheme="minorHAnsi"/>
        </w:rPr>
        <w:t xml:space="preserve">Hosting Poczty E-mail w Skrzynce Pocztowej o Pojemności Minimum 50 GB: </w:t>
      </w:r>
      <w:r w:rsidR="00605894" w:rsidRPr="00F757F2">
        <w:rPr>
          <w:rFonts w:cstheme="minorHAnsi"/>
        </w:rPr>
        <w:br/>
      </w:r>
      <w:r w:rsidRPr="00F757F2">
        <w:rPr>
          <w:rFonts w:cstheme="minorHAnsi"/>
        </w:rPr>
        <w:t>Wykonawca musi zapewnić, że każda licencja subskrypcyjna obejmuje hosting poczty e-mail w skrzynce pocztowej o minimalnej pojemności 50 GB. Ta funkcjonalność jest niezbędna, aby umożliwić użytkownikom KG PSP przechowywanie znacznych ilości danych pocztowych, w tym e-maili, załączników, kalendarzy oraz innych elementów, bez obaw o przekroczenie limitu pojemności. Taka pojemność skrzynki pocztowej zapewnia elastyczność i bezpieczeństwo w codziennej komunikacji służbowej.</w:t>
      </w:r>
    </w:p>
    <w:p w14:paraId="7B6863CD" w14:textId="3338D6E3" w:rsidR="007906B0" w:rsidRPr="00F757F2" w:rsidRDefault="007906B0" w:rsidP="00CE4F1A">
      <w:pPr>
        <w:pStyle w:val="Akapitzlist"/>
        <w:numPr>
          <w:ilvl w:val="0"/>
          <w:numId w:val="5"/>
        </w:numPr>
        <w:rPr>
          <w:rFonts w:cstheme="minorHAnsi"/>
        </w:rPr>
      </w:pPr>
      <w:r w:rsidRPr="00F757F2">
        <w:rPr>
          <w:rFonts w:cstheme="minorHAnsi"/>
        </w:rPr>
        <w:t xml:space="preserve">Dostępność Poczty E-mail Klasy Biznesowej na Wielu Urządzeniach: </w:t>
      </w:r>
      <w:r w:rsidR="00605894" w:rsidRPr="00F757F2">
        <w:rPr>
          <w:rFonts w:cstheme="minorHAnsi"/>
        </w:rPr>
        <w:br/>
      </w:r>
      <w:r w:rsidRPr="00F757F2">
        <w:rPr>
          <w:rFonts w:cstheme="minorHAnsi"/>
        </w:rPr>
        <w:t>Produkty równoważne muszą zapewniać dostępność poczty e-mail klasy biznesowej, która jest przystosowana do wygodnego i bezpiecznego użytkowania na różnorodnych urządzeniach, w tym telefonach, tabletach, komputerach stacjonarnych i laptopach, a także poprzez interfejsy internetowe. Ta wszechstronność zapewnia konieczną mobilność i dostępność dla pracowników KG PSP, pozwalając na efektywną komunikację i dostęp do poczty e-mail w każdych warunkach i z każdego miejsca, co jest szczególnie ważne w kontekście dynamicznego charakteru pracy w służbach ratowniczych.</w:t>
      </w:r>
    </w:p>
    <w:p w14:paraId="7E486502" w14:textId="26988C7F" w:rsidR="00CC26E3" w:rsidRPr="00F757F2" w:rsidRDefault="00E71012" w:rsidP="00CE4F1A">
      <w:pPr>
        <w:pStyle w:val="Akapitzlist"/>
        <w:numPr>
          <w:ilvl w:val="0"/>
          <w:numId w:val="5"/>
        </w:numPr>
        <w:rPr>
          <w:rFonts w:cstheme="minorHAnsi"/>
        </w:rPr>
      </w:pPr>
      <w:r w:rsidRPr="00F757F2">
        <w:rPr>
          <w:rFonts w:cstheme="minorHAnsi"/>
        </w:rPr>
        <w:t xml:space="preserve">Zarządzanie Kalendarzem i Funkcjonalności Związane z Organizacją Spotkań: </w:t>
      </w:r>
      <w:r w:rsidR="00605894" w:rsidRPr="00F757F2">
        <w:rPr>
          <w:rFonts w:cstheme="minorHAnsi"/>
        </w:rPr>
        <w:br/>
      </w:r>
      <w:r w:rsidRPr="00F757F2">
        <w:rPr>
          <w:rFonts w:cstheme="minorHAnsi"/>
        </w:rPr>
        <w:t xml:space="preserve">Oferowane produkty równoważne muszą zawierać zaawansowane narzędzia do zarządzania kalendarzem, które umożliwiają nie tylko planowanie i organizowanie spotkań, ale także udostępnianie wolnych terminów, tworzenie szczegółowych planów spotkań oraz ustawianie </w:t>
      </w:r>
      <w:r w:rsidRPr="00F757F2">
        <w:rPr>
          <w:rFonts w:cstheme="minorHAnsi"/>
        </w:rPr>
        <w:lastRenderedPageBreak/>
        <w:t>przypomnień. Te funkcje są niezbędne dla skutecznego zarządzania czasem i organizacji pracy, pozwalają na zwiększenie efektywności komunikacji wewnętrznej oraz ułatwiają koordynację działań w ramach różnych jednostek Komendy Głównej Państwowej Straży Pożarnej.</w:t>
      </w:r>
    </w:p>
    <w:p w14:paraId="6B2D35C2" w14:textId="4552A94C" w:rsidR="00E71012" w:rsidRPr="00F757F2" w:rsidRDefault="001000C7" w:rsidP="00CE4F1A">
      <w:pPr>
        <w:pStyle w:val="Akapitzlist"/>
        <w:numPr>
          <w:ilvl w:val="0"/>
          <w:numId w:val="5"/>
        </w:numPr>
        <w:rPr>
          <w:rFonts w:cstheme="minorHAnsi"/>
        </w:rPr>
      </w:pPr>
      <w:r w:rsidRPr="00F757F2">
        <w:rPr>
          <w:rFonts w:cstheme="minorHAnsi"/>
        </w:rPr>
        <w:t xml:space="preserve">Udostępnianie Kalendarzy: </w:t>
      </w:r>
      <w:r w:rsidR="00605894" w:rsidRPr="00F757F2">
        <w:rPr>
          <w:rFonts w:cstheme="minorHAnsi"/>
        </w:rPr>
        <w:br/>
      </w:r>
      <w:r w:rsidRPr="00F757F2">
        <w:rPr>
          <w:rFonts w:cstheme="minorHAnsi"/>
        </w:rPr>
        <w:t>Oferowane produkty równoważne muszą umożliwiać użytkownikom łatwe i intuicyjne udostępnianie kalendarzy innym osobom w organizacji. Ta funkcjonalność powinna zapewniać możliwość współdzielenia informacji o spotkaniach, wydarzeniach oraz innych zaplanowanych aktywnościach, co jest kluczowe dla efektywnej koordynacji pracy, szczególnie w środowiskach wymagających szybkiej i skutecznej komunikacji, jakimi są służby ratownicze. Udostępnianie kalendarzy powinno być możliwe zarówno wewnątrz organizacji, jak i z wybranymi zewnętrznymi partnerami.</w:t>
      </w:r>
    </w:p>
    <w:p w14:paraId="37312201" w14:textId="0F359530" w:rsidR="002D135D" w:rsidRPr="00F757F2" w:rsidRDefault="00863951" w:rsidP="00CE4F1A">
      <w:pPr>
        <w:pStyle w:val="Akapitzlist"/>
        <w:numPr>
          <w:ilvl w:val="0"/>
          <w:numId w:val="5"/>
        </w:numPr>
        <w:rPr>
          <w:rFonts w:cstheme="minorHAnsi"/>
        </w:rPr>
      </w:pPr>
      <w:r w:rsidRPr="00F757F2">
        <w:rPr>
          <w:rFonts w:cstheme="minorHAnsi"/>
        </w:rPr>
        <w:t xml:space="preserve">Zarządzanie Kontami E-mail: </w:t>
      </w:r>
      <w:r w:rsidR="00605894" w:rsidRPr="00F757F2">
        <w:rPr>
          <w:rFonts w:cstheme="minorHAnsi"/>
        </w:rPr>
        <w:br/>
      </w:r>
      <w:r w:rsidRPr="00F757F2">
        <w:rPr>
          <w:rFonts w:cstheme="minorHAnsi"/>
        </w:rPr>
        <w:t>Produkty równoważne muszą umożliwiać administratorom systemu kompleksowe zarządzanie kontami e-mail, w tym dodawanie nowych kont, usuwanie istniejących oraz przywracanie usuniętych kont e-mail. Te funkcje są niezbędne do efektywnego administrowania środowiskiem pocztowym, pozwalając na szybką reakcję na zmieniające się potrzeby organizacji oraz na utrzymanie kontroli nad dostępem do zasobów i informacji. Elastyczność w zarządzaniu kontami e-mail jest kluczowa dla zapewnienia, że wszyscy pracownicy mają odpowiedni dostęp do narzędzi komunikacyjnych, a także dla zabezpieczenia danych w przypadku zmiany personelu lub innych okoliczności operacyjnych.</w:t>
      </w:r>
    </w:p>
    <w:p w14:paraId="4BDFC433" w14:textId="15A91E58" w:rsidR="00863951" w:rsidRPr="00F757F2" w:rsidRDefault="00D86DB4" w:rsidP="00CE4F1A">
      <w:pPr>
        <w:pStyle w:val="Akapitzlist"/>
        <w:numPr>
          <w:ilvl w:val="0"/>
          <w:numId w:val="5"/>
        </w:numPr>
        <w:rPr>
          <w:rFonts w:cstheme="minorHAnsi"/>
        </w:rPr>
      </w:pPr>
      <w:r w:rsidRPr="00F757F2">
        <w:rPr>
          <w:rFonts w:cstheme="minorHAnsi"/>
        </w:rPr>
        <w:t xml:space="preserve">Przechowywanie i Udostępnianie Plików w Magazynach Chmurowych: </w:t>
      </w:r>
      <w:r w:rsidR="00605894" w:rsidRPr="00F757F2">
        <w:rPr>
          <w:rFonts w:cstheme="minorHAnsi"/>
        </w:rPr>
        <w:br/>
      </w:r>
      <w:r w:rsidRPr="00F757F2">
        <w:rPr>
          <w:rFonts w:cstheme="minorHAnsi"/>
        </w:rPr>
        <w:t>Wykonawca jest zobowiązany do zapewnienia, że oferowane produkty równoważne umożliwiają przechowywanie i udostępnianie plików w bezpiecznych magazynach chmurowych o minimalnej pojemności 1 TB dla każdego użytkownika. Takie rozwiązanie powinno oferować łatwy dostęp do plików, umożliwiać ich współdzielenie i współpracę w ramach organizacji, a także zapewniać niezbędne zabezpieczenia i ochronę danych. Magazyn chmurowy musi być dostępny z różnych urządzeń, zarówno stacjonarnych, jak i mobilnych, umożliwiając elastyczny i bezpieczny dostęp do danych z dowolnego miejsca i w dowolnym czasie.</w:t>
      </w:r>
    </w:p>
    <w:p w14:paraId="61281347" w14:textId="13FDC986" w:rsidR="00D86DB4" w:rsidRPr="00F757F2" w:rsidRDefault="003D249A" w:rsidP="00CE4F1A">
      <w:pPr>
        <w:pStyle w:val="Akapitzlist"/>
        <w:numPr>
          <w:ilvl w:val="0"/>
          <w:numId w:val="5"/>
        </w:numPr>
        <w:rPr>
          <w:rFonts w:cstheme="minorHAnsi"/>
        </w:rPr>
      </w:pPr>
      <w:r w:rsidRPr="00F757F2">
        <w:rPr>
          <w:rFonts w:cstheme="minorHAnsi"/>
        </w:rPr>
        <w:t xml:space="preserve">Synchronizacja Zapisanych Plików w Chmurze między Urządzeniami Użytkownika: </w:t>
      </w:r>
      <w:r w:rsidR="00605894" w:rsidRPr="00F757F2">
        <w:rPr>
          <w:rFonts w:cstheme="minorHAnsi"/>
        </w:rPr>
        <w:br/>
      </w:r>
      <w:r w:rsidRPr="00F757F2">
        <w:rPr>
          <w:rFonts w:cstheme="minorHAnsi"/>
        </w:rPr>
        <w:t>Oferowane produkty równoważne muszą zapewniać funkcję automatycznej synchronizacji zapisanych plików w chmurze między różnymi urządzeniami użytkownika. Oznacza to, że wszelkie zmiany dokonane w pliku na jednym urządzeniu powinny być natychmiast odzwierciedlone na wszystkich innych urządzeniach tego samego użytkownika, które mają dostęp do tego samego magazynu chmurowego. Ta funkcja jest kluczowa dla zapewnienia ciągłości pracy i efektywnego dostępu do najnowszych wersji dokumentów i plików, niezależnie od używanego urządzenia, co jest szczególnie ważne dla pracowników mobilnych i zespołów pracujących w różnych lokalizacjach.</w:t>
      </w:r>
    </w:p>
    <w:p w14:paraId="7B683DCB" w14:textId="3923EDB4" w:rsidR="006D6F43" w:rsidRPr="00F757F2" w:rsidRDefault="00253794" w:rsidP="00CE4F1A">
      <w:pPr>
        <w:pStyle w:val="Akapitzlist"/>
        <w:numPr>
          <w:ilvl w:val="0"/>
          <w:numId w:val="5"/>
        </w:numPr>
        <w:rPr>
          <w:rFonts w:cstheme="minorHAnsi"/>
        </w:rPr>
      </w:pPr>
      <w:r w:rsidRPr="00F757F2">
        <w:rPr>
          <w:rFonts w:cstheme="minorHAnsi"/>
        </w:rPr>
        <w:t xml:space="preserve">Zabezpieczenie i Udzielanie Uprawnień do Poszczególnych Plików: </w:t>
      </w:r>
      <w:r w:rsidR="007A24D5" w:rsidRPr="00F757F2">
        <w:rPr>
          <w:rFonts w:cstheme="minorHAnsi"/>
        </w:rPr>
        <w:br/>
      </w:r>
      <w:r w:rsidRPr="00F757F2">
        <w:rPr>
          <w:rFonts w:cstheme="minorHAnsi"/>
        </w:rPr>
        <w:t xml:space="preserve">Produkty równoważne muszą umożliwiać skuteczne zabezpieczanie plików przechowywanych w magazynie chmurowym oraz precyzyjne zarządzanie uprawnieniami dostępu do tych plików. Obejmuje to możliwość ograniczania dostępu do określonych dokumentów, udzielania różnych poziomów uprawnień (np. tylko do odczytu, edycji, udostępniania), a także monitorowania i rejestrowania aktywności użytkowników w związku z dostępem do plików. Takie rozwiązania </w:t>
      </w:r>
      <w:r w:rsidRPr="00F757F2">
        <w:rPr>
          <w:rFonts w:cstheme="minorHAnsi"/>
        </w:rPr>
        <w:lastRenderedPageBreak/>
        <w:t>mają na celu nie tylko ochronę poufnych informacji przed nieautoryzowanym dostępem, ale również zapewnienie kontroli nad przepływem i wykorzystaniem danych w ramach organizacji.</w:t>
      </w:r>
    </w:p>
    <w:p w14:paraId="430A84D9" w14:textId="3262D60D" w:rsidR="00EC23F3" w:rsidRPr="00F757F2" w:rsidRDefault="00EC23F3" w:rsidP="00CE4F1A">
      <w:pPr>
        <w:pStyle w:val="Akapitzlist"/>
        <w:numPr>
          <w:ilvl w:val="0"/>
          <w:numId w:val="5"/>
        </w:numPr>
        <w:rPr>
          <w:rFonts w:cstheme="minorHAnsi"/>
        </w:rPr>
      </w:pPr>
      <w:r w:rsidRPr="00F757F2">
        <w:rPr>
          <w:rFonts w:cstheme="minorHAnsi"/>
        </w:rPr>
        <w:t xml:space="preserve">Organizowanie Spotkań Online i Rozmów Wideo z Ponad 200 Użytkownikami: </w:t>
      </w:r>
      <w:r w:rsidR="007A24D5" w:rsidRPr="00F757F2">
        <w:rPr>
          <w:rFonts w:cstheme="minorHAnsi"/>
        </w:rPr>
        <w:br/>
      </w:r>
      <w:r w:rsidRPr="00F757F2">
        <w:rPr>
          <w:rFonts w:cstheme="minorHAnsi"/>
        </w:rPr>
        <w:t>Produkty równoważne muszą umożliwiać organizowanie spotkań online oraz rozmów wideo, które mogą pomieścić ponad 200 uczestników jednocześnie. Ta funkcjonalność jest kluczowa dla umożliwienia efektywnej komunikacji i współpracy wewnątrz organizacji, szczególnie w kontekście dużych spotkań, konferencji lub szkoleń. Oprogramowanie powinno zapewniać stabilną i bezpieczną łączność, wysoką jakość dźwięku i obrazu, jak również różne opcje interaktywne, takie jak udostępnianie ekranu, chat tekstowy, możliwość prowadzenia ankiet i innych narzędzi wspomagających interakcję.</w:t>
      </w:r>
    </w:p>
    <w:p w14:paraId="2A82385F" w14:textId="14BA8B64" w:rsidR="00EC23F3" w:rsidRPr="00F757F2" w:rsidRDefault="00AC65E0" w:rsidP="00CE4F1A">
      <w:pPr>
        <w:pStyle w:val="Akapitzlist"/>
        <w:numPr>
          <w:ilvl w:val="0"/>
          <w:numId w:val="5"/>
        </w:numPr>
        <w:rPr>
          <w:rFonts w:cstheme="minorHAnsi"/>
        </w:rPr>
      </w:pPr>
      <w:r w:rsidRPr="00F757F2">
        <w:rPr>
          <w:rFonts w:cstheme="minorHAnsi"/>
        </w:rPr>
        <w:t xml:space="preserve">Planowanie Harmonogramów i Dziennych Zadań: </w:t>
      </w:r>
      <w:r w:rsidR="007A24D5" w:rsidRPr="00F757F2">
        <w:rPr>
          <w:rFonts w:cstheme="minorHAnsi"/>
        </w:rPr>
        <w:br/>
      </w:r>
      <w:r w:rsidRPr="00F757F2">
        <w:rPr>
          <w:rFonts w:cstheme="minorHAnsi"/>
        </w:rPr>
        <w:t>Produkty równoważne muszą zawierać zaawansowane narzędzia do planowania i zarządzania harmonogramami oraz dziennymi zadaniami. Oferowane rozwiązania powinny umożliwiać łatwe tworzenie, organizowanie, śledzenie i zarządzanie zadaniami oraz harmonogramami pracy, co jest niezbędne dla utrzymania porządku i efektywności działania w dynamicznym środowisku KG PSP. Funkcjonalność ta powinna obejmować możliwość integracji z innymi narzędziami pakietu biurowego, co pozwoli na płynne połączenie zadań, kalendarzy i innych narzędzi wspomagających pracę.</w:t>
      </w:r>
    </w:p>
    <w:p w14:paraId="3C468125" w14:textId="67369244" w:rsidR="00AC65E0" w:rsidRPr="00F757F2" w:rsidRDefault="00C911E0" w:rsidP="00CE4F1A">
      <w:pPr>
        <w:pStyle w:val="Akapitzlist"/>
        <w:numPr>
          <w:ilvl w:val="0"/>
          <w:numId w:val="5"/>
        </w:numPr>
        <w:rPr>
          <w:rFonts w:cstheme="minorHAnsi"/>
        </w:rPr>
      </w:pPr>
      <w:r w:rsidRPr="00F757F2">
        <w:rPr>
          <w:rFonts w:cstheme="minorHAnsi"/>
        </w:rPr>
        <w:t>Ochrony Poczty E-mail przed Spamem, Złośliwym Oprogramowaniem i Znanymi Zagrożeniami: Produkty równoważne muszą zawierać skuteczne mechanizmy ochrony poczty e-mail, które będą chronić użytkowników przed niechcianym spamem, złośliwym oprogramowaniem oraz innymi znanymi zagrożeniami internetowymi. Ochrona ta powinna być realizowana na najwyższym poziomie, wykorzystując zaawansowane technologie filtracji, skanowania i wykrywania zagrożeń, aby zapewnić maksymalne bezpieczeństwo komunikacji e-mailowej pracowników KG PSP. Niezawodność tych systemów ochrony jest kluczowa dla zachowania poufności i integralności wrażliwych danych przesyłanych drogą elektroniczną.</w:t>
      </w:r>
    </w:p>
    <w:p w14:paraId="70F6F099" w14:textId="6FFA5BE7" w:rsidR="00C911E0" w:rsidRPr="00F757F2" w:rsidRDefault="00A634D8" w:rsidP="00CE4F1A">
      <w:pPr>
        <w:pStyle w:val="Akapitzlist"/>
        <w:numPr>
          <w:ilvl w:val="0"/>
          <w:numId w:val="5"/>
        </w:numPr>
        <w:rPr>
          <w:rFonts w:cstheme="minorHAnsi"/>
        </w:rPr>
      </w:pPr>
      <w:r w:rsidRPr="00F757F2">
        <w:rPr>
          <w:rFonts w:cstheme="minorHAnsi"/>
        </w:rPr>
        <w:t>Możliwość Tworzenia Grup Zabezpieczeń i Uprawnień dla Określonych Użytkowników: Wykonawca musi zapewnić, że produkty równoważne umożliwiają tworzenie i zarządzanie grupami zabezpieczeń oraz przydzielanie uprawnień określonym użytkownikom lub grupom użytkowników. Funkcja ta powinna umożliwiać administratorom systemu definiowanie i dostosowywanie poziomu dostępu do różnych zasobów, takich jak pliki, aplikacje, dane i usługi pocztowe, zgodnie z wymaganiami bezpieczeństwa i organizacyjnymi KG PSP. Elastyczność w zarządzaniu uprawnieniami jest kluczowa dla ochrony poufnych informacji oraz dla zapewnienia, że każdy użytkownik ma dostęp jedynie do tych zasobów, które są mu niezbędne do wykonywania jego obowiązków służbowych.</w:t>
      </w:r>
    </w:p>
    <w:p w14:paraId="28D15784" w14:textId="53822690" w:rsidR="00286B50" w:rsidRPr="00F757F2" w:rsidRDefault="00B95F5A" w:rsidP="00CE4F1A">
      <w:pPr>
        <w:pStyle w:val="Akapitzlist"/>
        <w:numPr>
          <w:ilvl w:val="0"/>
          <w:numId w:val="5"/>
        </w:numPr>
        <w:rPr>
          <w:rFonts w:cstheme="minorHAnsi"/>
        </w:rPr>
      </w:pPr>
      <w:r w:rsidRPr="00F757F2">
        <w:rPr>
          <w:rFonts w:cstheme="minorHAnsi"/>
        </w:rPr>
        <w:t xml:space="preserve">Tworzenie Zasad Dotyczących Haseł i Wymuszanie Ich Zmiany: </w:t>
      </w:r>
      <w:r w:rsidR="007A24D5" w:rsidRPr="00F757F2">
        <w:rPr>
          <w:rFonts w:cstheme="minorHAnsi"/>
        </w:rPr>
        <w:br/>
      </w:r>
      <w:r w:rsidRPr="00F757F2">
        <w:rPr>
          <w:rFonts w:cstheme="minorHAnsi"/>
        </w:rPr>
        <w:t>Niezbędne jest, aby oferowane produkty równoważne zapewniały funkcjonalność pozwalającą na tworzenie zasad dotyczących haseł oraz wymuszanie zmiany haseł użytkowników po upływie określonej liczby dni. Taka funkcjonalność powinna umożliwiać ustalenie wymogów dotyczących siły i złożoności haseł, a także określenie polityki dotyczącej regularnej zmiany haseł, co jest kluczowe dla utrzymania wysokiego poziomu bezpieczeństwa danych i systemów KG PSP. Zarządzanie politykami haseł powinno być intuicyjne i elastyczne, umożliwiając administratorom dostosowanie zasad do specyficznych potrzeb i wymagań bezpieczeństwa organizacji.</w:t>
      </w:r>
    </w:p>
    <w:p w14:paraId="69535DAC" w14:textId="5C896B62" w:rsidR="00B95F5A" w:rsidRPr="00F757F2" w:rsidRDefault="00265519" w:rsidP="00CE4F1A">
      <w:pPr>
        <w:pStyle w:val="Akapitzlist"/>
        <w:numPr>
          <w:ilvl w:val="0"/>
          <w:numId w:val="5"/>
        </w:numPr>
        <w:rPr>
          <w:rFonts w:cstheme="minorHAnsi"/>
        </w:rPr>
      </w:pPr>
      <w:r w:rsidRPr="00F757F2">
        <w:rPr>
          <w:rFonts w:cstheme="minorHAnsi"/>
        </w:rPr>
        <w:lastRenderedPageBreak/>
        <w:t>Dostęp do Pomocy Technicznej: Wykonawca musi zapewnić ciągły dostęp do wsparcia technicznego, dostępnego telefonicznie lub za pośrednictwem Internetu, w dowolnym momencie. Taka usługa wsparcia powinna umożliwiać szybkie rozwiązywanie wszelkich problemów technicznych, pytań oraz wątpliwości związanych z użytkowaniem oferowanych produktów. Ważne jest, aby wsparcie techniczne było dostępne 24 godziny na dobę, 7 dni w tygodniu, aby sprostać wymaganiom operacyjnym KG PSP, które mogą wymagać natychmiastowej reakcji i wsparcia technicznego w każdej sytuacji.</w:t>
      </w:r>
    </w:p>
    <w:p w14:paraId="73663A5B" w14:textId="57D13380" w:rsidR="00265519" w:rsidRPr="00F757F2" w:rsidRDefault="005256BA" w:rsidP="00CE4F1A">
      <w:pPr>
        <w:pStyle w:val="Akapitzlist"/>
        <w:numPr>
          <w:ilvl w:val="0"/>
          <w:numId w:val="5"/>
        </w:numPr>
        <w:rPr>
          <w:rFonts w:cstheme="minorHAnsi"/>
        </w:rPr>
      </w:pPr>
      <w:r w:rsidRPr="00F757F2">
        <w:rPr>
          <w:rFonts w:cstheme="minorHAnsi"/>
        </w:rPr>
        <w:t>Uwierzytelnianie Wieloskładnikowe (MFA): Oferowane produkty równoważne muszą obejmować możliwość stosowania uwierzytelniania wieloskładnikowego (MFA). Ta funkcja zabezpieczeń powinna wymagać od użytkowników potwierdzenia tożsamości przy użyciu co najmniej dwóch różnych metod weryfikacji, co znacznie zwiększa poziom bezpieczeństwa dostępu do systemów i danych. Może to obejmować kombinację czegoś, co użytkownik zna (np. hasło), czegoś, co posiada (np. token bezpieczeństwa, telefon komórkowy), lub czegoś, co charakteryzuje użytkownika (np. odcisk palca, rozpoznawanie twarzy). Uwierzytelnianie wieloskładnikowe jest kluczowym elementem strategii bezpieczeństwa KG PSP, zapobiegającym nieautoryzowanemu dostępowi do wrażliwych zasobów i informacji.</w:t>
      </w:r>
    </w:p>
    <w:p w14:paraId="0020769C" w14:textId="766FFB51" w:rsidR="005256BA" w:rsidRPr="00F757F2" w:rsidRDefault="00CE03B9" w:rsidP="00CE4F1A">
      <w:pPr>
        <w:pStyle w:val="Akapitzlist"/>
        <w:numPr>
          <w:ilvl w:val="0"/>
          <w:numId w:val="5"/>
        </w:numPr>
        <w:rPr>
          <w:rFonts w:cstheme="minorHAnsi"/>
        </w:rPr>
      </w:pPr>
      <w:r w:rsidRPr="00F757F2">
        <w:rPr>
          <w:rFonts w:cstheme="minorHAnsi"/>
        </w:rPr>
        <w:t>Czas Bezawaryjnej Pracy na Poziomie 99,9%: Wykonawca musi zagwarantować, że oferowane produkty równoważne będą charakteryzować się czasem bezawaryjnej pracy (dostępności) na poziomie co najmniej 99,9%. Oznacza to, że systemy muszą być dostępne i funkcjonować prawidłowo przez zdecydowaną większość czasu, minimalizując ryzyko przestojów, które mogłyby negatywnie wpłynąć na operacje KG PSP. Wysoki poziom dostępności jest kluczowy dla zapewnienia ciągłości pracy i efektywności operacyjnej, szczególnie w krytycznych dla bezpieczeństwa i ratownictwa środowiskach.</w:t>
      </w:r>
    </w:p>
    <w:p w14:paraId="191F6D7B" w14:textId="69D3ADA3" w:rsidR="00783430" w:rsidRPr="00F757F2" w:rsidRDefault="00783430" w:rsidP="009745A3">
      <w:pPr>
        <w:pStyle w:val="Akapitzlist"/>
        <w:numPr>
          <w:ilvl w:val="0"/>
          <w:numId w:val="5"/>
        </w:numPr>
        <w:rPr>
          <w:rFonts w:cstheme="minorHAnsi"/>
        </w:rPr>
      </w:pPr>
      <w:r w:rsidRPr="00F757F2">
        <w:rPr>
          <w:rFonts w:cstheme="minorHAnsi"/>
        </w:rPr>
        <w:t>Klasyczna, Instalowalna Wersja Aplikacji Pakietu Biurowego (Dostępność w Wersjach 32-bit oraz 64-bit): Wykonawca musi zapewnić klasyczną, instalowalną wersję aplikacji pakietu biurowego, dostępną zarówno w wariantach 32-bitowym, jak i 64-bitowym. Ta funkcjonalność jest niezbędna dla zapewnienia pełnej kompatybilności i wydajności na różnych konfiguracjach sprzętowych oraz systemach operacyjnych.</w:t>
      </w:r>
    </w:p>
    <w:p w14:paraId="7D260412" w14:textId="65B7D336" w:rsidR="00CE03B9" w:rsidRPr="00F757F2" w:rsidRDefault="00783430" w:rsidP="00783430">
      <w:pPr>
        <w:pStyle w:val="Akapitzlist"/>
        <w:numPr>
          <w:ilvl w:val="0"/>
          <w:numId w:val="5"/>
        </w:numPr>
        <w:rPr>
          <w:rFonts w:cstheme="minorHAnsi"/>
        </w:rPr>
      </w:pPr>
      <w:r w:rsidRPr="00F757F2">
        <w:rPr>
          <w:rFonts w:cstheme="minorHAnsi"/>
        </w:rPr>
        <w:t>Aktualizacja Pakietu Biurowego z Możliwością Instalacji na Komputerach PC z Systemem Windows i na Komputerach Mac: Oferowane produkty równoważne muszą być regularnie aktualizowane, aby zapewnić najnowsze funkcje, poprawki bezpieczeństwa i ulepszenia wydajności. Ponadto, muszą one być kompatybilne z różnymi systemami operacyjnymi, umożliwiając instalację i pełną funkcjonalność zarówno na komputerach klasy PC z systemem Windows, jak i na komputerach Mac. Taka uniwersalność i elastyczność są kluczowe dla zapewnienia, że wszyscy pracownicy KG PSP mogą korzystać z pakietu biurowego niezależnie od używanego sprzętu.</w:t>
      </w:r>
    </w:p>
    <w:p w14:paraId="27D171F1" w14:textId="77777777" w:rsidR="00333D2F" w:rsidRPr="00F757F2" w:rsidRDefault="00333D2F" w:rsidP="00333D2F">
      <w:pPr>
        <w:pStyle w:val="Akapitzlist"/>
        <w:numPr>
          <w:ilvl w:val="0"/>
          <w:numId w:val="5"/>
        </w:numPr>
        <w:rPr>
          <w:rFonts w:cstheme="minorHAnsi"/>
        </w:rPr>
      </w:pPr>
      <w:r w:rsidRPr="00F757F2">
        <w:rPr>
          <w:rFonts w:cstheme="minorHAnsi"/>
        </w:rPr>
        <w:t>W celu spełnienia wymogów równoważności produktów alternatywnych do Microsoft 365 Business Standard, Zamawiający wymaga, aby pakiet zintegrowanych aplikacji biurowych zawierał:</w:t>
      </w:r>
    </w:p>
    <w:p w14:paraId="71B96EA1" w14:textId="77777777" w:rsidR="00333D2F" w:rsidRPr="00F757F2" w:rsidRDefault="00333D2F" w:rsidP="00333D2F">
      <w:pPr>
        <w:pStyle w:val="Akapitzlist"/>
        <w:numPr>
          <w:ilvl w:val="1"/>
          <w:numId w:val="5"/>
        </w:numPr>
        <w:rPr>
          <w:rFonts w:cstheme="minorHAnsi"/>
        </w:rPr>
      </w:pPr>
      <w:r w:rsidRPr="00F757F2">
        <w:rPr>
          <w:rFonts w:cstheme="minorHAnsi"/>
        </w:rPr>
        <w:t>Edytor Tekstów: Aplikacja powinna umożliwiać tworzenie, edytowanie i formatowanie dokumentów tekstowych, oferując różnorodne narzędzia do zaawansowanego formatowania, sprawdzania pisowni, a także funkcje umożliwiające współpracę i udostępnianie dokumentów.</w:t>
      </w:r>
    </w:p>
    <w:p w14:paraId="6F7FAB3F" w14:textId="77777777" w:rsidR="00333D2F" w:rsidRPr="00F757F2" w:rsidRDefault="00333D2F" w:rsidP="00333D2F">
      <w:pPr>
        <w:pStyle w:val="Akapitzlist"/>
        <w:numPr>
          <w:ilvl w:val="1"/>
          <w:numId w:val="5"/>
        </w:numPr>
        <w:rPr>
          <w:rFonts w:cstheme="minorHAnsi"/>
        </w:rPr>
      </w:pPr>
      <w:r w:rsidRPr="00F757F2">
        <w:rPr>
          <w:rFonts w:cstheme="minorHAnsi"/>
        </w:rPr>
        <w:lastRenderedPageBreak/>
        <w:t>Arkusz Kalkulacyjny: Narzędzie musi umożliwiać tworzenie zaawansowanych arkuszy kalkulacyjnych, w tym funkcje do analizy danych, tworzenia formuł, wykresów oraz tabel przestawnych.</w:t>
      </w:r>
    </w:p>
    <w:p w14:paraId="7121F9B3" w14:textId="77777777" w:rsidR="00333D2F" w:rsidRPr="00F757F2" w:rsidRDefault="00333D2F" w:rsidP="00333D2F">
      <w:pPr>
        <w:pStyle w:val="Akapitzlist"/>
        <w:numPr>
          <w:ilvl w:val="1"/>
          <w:numId w:val="5"/>
        </w:numPr>
        <w:rPr>
          <w:rFonts w:cstheme="minorHAnsi"/>
        </w:rPr>
      </w:pPr>
      <w:r w:rsidRPr="00F757F2">
        <w:rPr>
          <w:rFonts w:cstheme="minorHAnsi"/>
        </w:rPr>
        <w:t>Narzędzie do Przygotowywania i Prowadzenia Prezentacji: Aplikacja do tworzenia prezentacji powinna oferować szeroki wybór szablonów, animacji i narzędzi graficznych, aby umożliwić tworzenie profesjonalnych i angażujących prezentacji multimedialnych.</w:t>
      </w:r>
    </w:p>
    <w:p w14:paraId="7184459A" w14:textId="0983606B" w:rsidR="00333D2F" w:rsidRPr="00F757F2" w:rsidRDefault="00333D2F" w:rsidP="00333D2F">
      <w:pPr>
        <w:pStyle w:val="Akapitzlist"/>
        <w:numPr>
          <w:ilvl w:val="1"/>
          <w:numId w:val="5"/>
        </w:numPr>
        <w:rPr>
          <w:rFonts w:cstheme="minorHAnsi"/>
        </w:rPr>
      </w:pPr>
      <w:r w:rsidRPr="00F757F2">
        <w:rPr>
          <w:rFonts w:cstheme="minorHAnsi"/>
        </w:rPr>
        <w:t>Narzędzie do Zarządzania Informacją Prywatną: Obejmujące funkcje zarządzania pocztą elektroniczną, kalendarzem, kontaktami i zadaniami, umożliwiające efektywne zarządzanie codziennymi zadaniami, spotkaniami oraz komunikacją.</w:t>
      </w:r>
    </w:p>
    <w:p w14:paraId="0B64766A" w14:textId="77777777" w:rsidR="00500F54" w:rsidRPr="00F757F2" w:rsidRDefault="00500F54" w:rsidP="00500F54">
      <w:pPr>
        <w:pStyle w:val="Akapitzlist"/>
        <w:numPr>
          <w:ilvl w:val="0"/>
          <w:numId w:val="5"/>
        </w:numPr>
        <w:rPr>
          <w:rFonts w:cstheme="minorHAnsi"/>
        </w:rPr>
      </w:pPr>
      <w:r w:rsidRPr="00F757F2">
        <w:rPr>
          <w:rFonts w:cstheme="minorHAnsi"/>
        </w:rPr>
        <w:t>W ramach warunków równoważności dla produktów alternatywnych do Microsoft Teams, Zamawiający określa następujące wymagania:</w:t>
      </w:r>
    </w:p>
    <w:p w14:paraId="03C02B5F" w14:textId="77777777" w:rsidR="00500F54" w:rsidRPr="00F757F2" w:rsidRDefault="00500F54" w:rsidP="00500F54">
      <w:pPr>
        <w:pStyle w:val="Akapitzlist"/>
        <w:numPr>
          <w:ilvl w:val="1"/>
          <w:numId w:val="5"/>
        </w:numPr>
        <w:rPr>
          <w:rFonts w:cstheme="minorHAnsi"/>
        </w:rPr>
      </w:pPr>
      <w:r w:rsidRPr="00F757F2">
        <w:rPr>
          <w:rFonts w:cstheme="minorHAnsi"/>
        </w:rPr>
        <w:t>Funkcjonalność Komunikacji i Współpracy: Produkt równoważny do Microsoft Teams musi oferować wszechstronne możliwości komunikacji i współpracy, w tym:</w:t>
      </w:r>
    </w:p>
    <w:p w14:paraId="2E297831" w14:textId="77777777" w:rsidR="00500F54" w:rsidRPr="00F757F2" w:rsidRDefault="00500F54" w:rsidP="00500F54">
      <w:pPr>
        <w:pStyle w:val="Akapitzlist"/>
        <w:numPr>
          <w:ilvl w:val="1"/>
          <w:numId w:val="5"/>
        </w:numPr>
        <w:rPr>
          <w:rFonts w:cstheme="minorHAnsi"/>
        </w:rPr>
      </w:pPr>
      <w:r w:rsidRPr="00F757F2">
        <w:rPr>
          <w:rFonts w:cstheme="minorHAnsi"/>
        </w:rPr>
        <w:t>Czat Tekstowy: Umożliwiający szybką i efektywną wymianę informacji między użytkownikami.</w:t>
      </w:r>
    </w:p>
    <w:p w14:paraId="7221C472" w14:textId="77777777" w:rsidR="00500F54" w:rsidRPr="00F757F2" w:rsidRDefault="00500F54" w:rsidP="00500F54">
      <w:pPr>
        <w:pStyle w:val="Akapitzlist"/>
        <w:numPr>
          <w:ilvl w:val="1"/>
          <w:numId w:val="5"/>
        </w:numPr>
        <w:rPr>
          <w:rFonts w:cstheme="minorHAnsi"/>
        </w:rPr>
      </w:pPr>
      <w:r w:rsidRPr="00F757F2">
        <w:rPr>
          <w:rFonts w:cstheme="minorHAnsi"/>
        </w:rPr>
        <w:t>Rozmowy Głosowe i Wideo: Wsparcie dla rozmów jedno- i wieloosobowych, z wysoką jakością dźwięku i obrazu.</w:t>
      </w:r>
    </w:p>
    <w:p w14:paraId="09F65706" w14:textId="77777777" w:rsidR="00500F54" w:rsidRPr="00F757F2" w:rsidRDefault="00500F54" w:rsidP="00500F54">
      <w:pPr>
        <w:pStyle w:val="Akapitzlist"/>
        <w:numPr>
          <w:ilvl w:val="1"/>
          <w:numId w:val="5"/>
        </w:numPr>
        <w:rPr>
          <w:rFonts w:cstheme="minorHAnsi"/>
        </w:rPr>
      </w:pPr>
      <w:r w:rsidRPr="00F757F2">
        <w:rPr>
          <w:rFonts w:cstheme="minorHAnsi"/>
        </w:rPr>
        <w:t>Spotkania Online: Możliwość organizowania i przeprowadzania spotkań online z zaawansowanymi funkcjami, takimi jak udostępnianie ekranu, zapisywanie spotkań, czat na żywo, i możliwość prowadzenia ankiet.</w:t>
      </w:r>
    </w:p>
    <w:p w14:paraId="3933339B" w14:textId="77777777" w:rsidR="00500F54" w:rsidRPr="00F757F2" w:rsidRDefault="00500F54" w:rsidP="00500F54">
      <w:pPr>
        <w:pStyle w:val="Akapitzlist"/>
        <w:numPr>
          <w:ilvl w:val="1"/>
          <w:numId w:val="5"/>
        </w:numPr>
        <w:rPr>
          <w:rFonts w:cstheme="minorHAnsi"/>
        </w:rPr>
      </w:pPr>
      <w:r w:rsidRPr="00F757F2">
        <w:rPr>
          <w:rFonts w:cstheme="minorHAnsi"/>
        </w:rPr>
        <w:t>Integracja z Aplikacjami Biurowymi: Pełna integracja z aplikacjami pakietu biurowego, umożliwiająca współpracę nad dokumentami bezpośrednio w ramach platformy.</w:t>
      </w:r>
    </w:p>
    <w:p w14:paraId="18AA382A" w14:textId="77777777" w:rsidR="00500F54" w:rsidRPr="00F757F2" w:rsidRDefault="00500F54" w:rsidP="00500F54">
      <w:pPr>
        <w:pStyle w:val="Akapitzlist"/>
        <w:numPr>
          <w:ilvl w:val="1"/>
          <w:numId w:val="5"/>
        </w:numPr>
        <w:rPr>
          <w:rFonts w:cstheme="minorHAnsi"/>
        </w:rPr>
      </w:pPr>
      <w:r w:rsidRPr="00F757F2">
        <w:rPr>
          <w:rFonts w:cstheme="minorHAnsi"/>
        </w:rPr>
        <w:t>Zarządzanie Zespołami i Kanałami: Narzędzie powinno umożliwiać tworzenie zespołów i kanałów tematycznych, co umożliwia organizowanie pracy grupowej, dzielenie się zasobami i współpracę nad projektami.</w:t>
      </w:r>
    </w:p>
    <w:p w14:paraId="068EDEFC" w14:textId="77777777" w:rsidR="00500F54" w:rsidRPr="00F757F2" w:rsidRDefault="00500F54" w:rsidP="00500F54">
      <w:pPr>
        <w:pStyle w:val="Akapitzlist"/>
        <w:numPr>
          <w:ilvl w:val="1"/>
          <w:numId w:val="5"/>
        </w:numPr>
        <w:rPr>
          <w:rFonts w:cstheme="minorHAnsi"/>
        </w:rPr>
      </w:pPr>
      <w:r w:rsidRPr="00F757F2">
        <w:rPr>
          <w:rFonts w:cstheme="minorHAnsi"/>
        </w:rPr>
        <w:t>Bezpieczeństwo i Zarządzanie Uprawnieniami: Zapewnienie wysokiego poziomu bezpieczeństwa danych i komunikacji, w tym zarządzanie uprawnieniami użytkowników oraz zabezpieczenia przed nieautoryzowanym dostępem.</w:t>
      </w:r>
    </w:p>
    <w:p w14:paraId="1AC06D12" w14:textId="77777777" w:rsidR="00500F54" w:rsidRPr="00F757F2" w:rsidRDefault="00500F54" w:rsidP="00500F54">
      <w:pPr>
        <w:pStyle w:val="Akapitzlist"/>
        <w:numPr>
          <w:ilvl w:val="1"/>
          <w:numId w:val="5"/>
        </w:numPr>
        <w:rPr>
          <w:rFonts w:cstheme="minorHAnsi"/>
        </w:rPr>
      </w:pPr>
      <w:r w:rsidRPr="00F757F2">
        <w:rPr>
          <w:rFonts w:cstheme="minorHAnsi"/>
        </w:rPr>
        <w:t>Dostępność na Wielu Platformach: Aplikacja musi być dostępna na różnych platformach, w tym na systemach Windows, MacOS, iOS, Android, a także jako aplikacja internetowa.</w:t>
      </w:r>
    </w:p>
    <w:p w14:paraId="4EDD6F7A" w14:textId="5BB06FDE" w:rsidR="00333D2F" w:rsidRPr="00F757F2" w:rsidRDefault="00500F54" w:rsidP="00500F54">
      <w:pPr>
        <w:pStyle w:val="Akapitzlist"/>
        <w:numPr>
          <w:ilvl w:val="1"/>
          <w:numId w:val="5"/>
        </w:numPr>
        <w:rPr>
          <w:rFonts w:cstheme="minorHAnsi"/>
        </w:rPr>
      </w:pPr>
      <w:r w:rsidRPr="00F757F2">
        <w:rPr>
          <w:rFonts w:cstheme="minorHAnsi"/>
        </w:rPr>
        <w:t>Wsparcie dla Wielu Użytkowników: Możliwość obsługi dużej liczby użytkowników jednocześnie, bez utraty wydajności i jakości połączeń.</w:t>
      </w:r>
    </w:p>
    <w:p w14:paraId="48F95BC8" w14:textId="07DCE034" w:rsidR="00F45624" w:rsidRPr="00F757F2" w:rsidRDefault="00FD7704" w:rsidP="00FD7704">
      <w:pPr>
        <w:rPr>
          <w:rFonts w:cstheme="minorHAnsi"/>
          <w:b/>
          <w:bCs/>
        </w:rPr>
      </w:pPr>
      <w:r w:rsidRPr="00F757F2">
        <w:rPr>
          <w:rFonts w:cstheme="minorHAnsi"/>
          <w:b/>
          <w:bCs/>
        </w:rPr>
        <w:t>Warunki Równoważności dla Produktu Równoważnego do Power BI Pro</w:t>
      </w:r>
    </w:p>
    <w:p w14:paraId="57E4A6A6" w14:textId="490C0881" w:rsidR="00FD7704" w:rsidRPr="00F757F2" w:rsidRDefault="00C33DD8" w:rsidP="00FD7704">
      <w:pPr>
        <w:pStyle w:val="Akapitzlist"/>
        <w:numPr>
          <w:ilvl w:val="0"/>
          <w:numId w:val="7"/>
        </w:numPr>
        <w:rPr>
          <w:rFonts w:cstheme="minorHAnsi"/>
        </w:rPr>
      </w:pPr>
      <w:r w:rsidRPr="00F757F2">
        <w:rPr>
          <w:rFonts w:cstheme="minorHAnsi"/>
        </w:rPr>
        <w:t>Zaawansowane Narzędzia Analityczne i Wizualizacji Danych: Produkt równoważny do Power BI Pro musi oferować rozbudowane funkcje analityczne i wizualizacyjne, umożliwiające tworzenie interaktywnych raportów i dashboardów. Powinien zawierać narzędzia do łatwego analizowania dużych zbiorów danych, identyfikowania trendów i wzorców, oraz wizualizowania wyników w czytelny i przystępny sposób.</w:t>
      </w:r>
    </w:p>
    <w:p w14:paraId="0EFB1B93" w14:textId="4EDCB52C" w:rsidR="00C33DD8" w:rsidRPr="00F757F2" w:rsidRDefault="00C33DD8" w:rsidP="00FD7704">
      <w:pPr>
        <w:pStyle w:val="Akapitzlist"/>
        <w:numPr>
          <w:ilvl w:val="0"/>
          <w:numId w:val="7"/>
        </w:numPr>
        <w:rPr>
          <w:rFonts w:cstheme="minorHAnsi"/>
        </w:rPr>
      </w:pPr>
      <w:r w:rsidRPr="00F757F2">
        <w:rPr>
          <w:rFonts w:cstheme="minorHAnsi"/>
        </w:rPr>
        <w:t>Integracja z Różnymi Źródłami Danych: Konieczność integracji z szeroką gamą źródeł danych, zarówno lokalnych, jak i chmurowych, w tym baz danych, plików Excel, usług strumieniowania danych oraz innych popularnych platform.</w:t>
      </w:r>
    </w:p>
    <w:p w14:paraId="3DE8F376" w14:textId="61EE63B9" w:rsidR="00C33DD8" w:rsidRPr="00F757F2" w:rsidRDefault="00C33DD8" w:rsidP="00FD7704">
      <w:pPr>
        <w:pStyle w:val="Akapitzlist"/>
        <w:numPr>
          <w:ilvl w:val="0"/>
          <w:numId w:val="7"/>
        </w:numPr>
        <w:rPr>
          <w:rFonts w:cstheme="minorHAnsi"/>
        </w:rPr>
      </w:pPr>
      <w:r w:rsidRPr="00F757F2">
        <w:rPr>
          <w:rFonts w:cstheme="minorHAnsi"/>
        </w:rPr>
        <w:t>Dostępność i Udostępnianie Raportów: Możliwość udostępniania raportów i dashboardów innym użytkownikom w organizacji, z zachowaniem odpowiednich zabezpieczeń i uprawnień dostępu.</w:t>
      </w:r>
    </w:p>
    <w:p w14:paraId="43810AC0" w14:textId="7B0ED72A" w:rsidR="00C33DD8" w:rsidRPr="00F757F2" w:rsidRDefault="00C33DD8" w:rsidP="00FD7704">
      <w:pPr>
        <w:pStyle w:val="Akapitzlist"/>
        <w:numPr>
          <w:ilvl w:val="0"/>
          <w:numId w:val="7"/>
        </w:numPr>
        <w:rPr>
          <w:rFonts w:cstheme="minorHAnsi"/>
        </w:rPr>
      </w:pPr>
      <w:r w:rsidRPr="00F757F2">
        <w:rPr>
          <w:rFonts w:cstheme="minorHAnsi"/>
        </w:rPr>
        <w:lastRenderedPageBreak/>
        <w:t>Bezpieczeństwo i Kontrola Danych: Zapewnienie wysokich standardów bezpieczeństwa danych, w tym funkcje kontroli dostępu, audytu i szyfrowania, aby chronić wrażliwe dane i zapewnić zgodność z przepisami o ochronie danych osobowych.</w:t>
      </w:r>
    </w:p>
    <w:p w14:paraId="48DE630C" w14:textId="5618F07B" w:rsidR="00C33DD8" w:rsidRPr="00F757F2" w:rsidRDefault="00C33DD8" w:rsidP="00FD7704">
      <w:pPr>
        <w:pStyle w:val="Akapitzlist"/>
        <w:numPr>
          <w:ilvl w:val="0"/>
          <w:numId w:val="7"/>
        </w:numPr>
        <w:rPr>
          <w:rFonts w:cstheme="minorHAnsi"/>
        </w:rPr>
      </w:pPr>
      <w:r w:rsidRPr="00F757F2">
        <w:rPr>
          <w:rFonts w:cstheme="minorHAnsi"/>
        </w:rPr>
        <w:t>Możliwość Tworzenia Raportów Własnych i Niemodyfikowanych: Narzędzie powinno umożliwiać użytkownikom tworzenie własnych niestandardowych raportów i analiz, oferując elastyczność w dostosowywaniu do specyficznych potrzeb.</w:t>
      </w:r>
    </w:p>
    <w:p w14:paraId="2E3A2F9C" w14:textId="43625573" w:rsidR="00C33DD8" w:rsidRPr="00F757F2" w:rsidRDefault="004A0E14" w:rsidP="00FD7704">
      <w:pPr>
        <w:pStyle w:val="Akapitzlist"/>
        <w:numPr>
          <w:ilvl w:val="0"/>
          <w:numId w:val="7"/>
        </w:numPr>
        <w:rPr>
          <w:rFonts w:cstheme="minorHAnsi"/>
        </w:rPr>
      </w:pPr>
      <w:r w:rsidRPr="00F757F2">
        <w:rPr>
          <w:rFonts w:cstheme="minorHAnsi"/>
        </w:rPr>
        <w:t>Interaktywność i Łatwość Użytkowania: Interfejs użytkownika powinien być intuicyjny i przyjazny dla użytkownika, umożliwiając łatwe tworzenie i manipulowanie danymi i wizualizacjami, nawet dla osób bez zaawansowanych umiejętności technicznych.</w:t>
      </w:r>
    </w:p>
    <w:p w14:paraId="57C70156" w14:textId="42E5F270" w:rsidR="004A0E14" w:rsidRPr="00F757F2" w:rsidRDefault="004A0E14" w:rsidP="00FD7704">
      <w:pPr>
        <w:pStyle w:val="Akapitzlist"/>
        <w:numPr>
          <w:ilvl w:val="0"/>
          <w:numId w:val="7"/>
        </w:numPr>
        <w:rPr>
          <w:rFonts w:cstheme="minorHAnsi"/>
        </w:rPr>
      </w:pPr>
      <w:r w:rsidRPr="00F757F2">
        <w:rPr>
          <w:rFonts w:cstheme="minorHAnsi"/>
        </w:rPr>
        <w:t>Dostępność Mobilna i Webowa: Produkt musi być dostępny zarówno w wersji mobilnej, jak i webowej, umożliwiając dostęp do danych i raportów z różnych urządzeń i lokalizacji.</w:t>
      </w:r>
    </w:p>
    <w:p w14:paraId="34ACD721" w14:textId="4BDC10AA" w:rsidR="004A0E14" w:rsidRPr="00F757F2" w:rsidRDefault="004E2202" w:rsidP="004A0E14">
      <w:pPr>
        <w:rPr>
          <w:rFonts w:cstheme="minorHAnsi"/>
          <w:b/>
          <w:bCs/>
        </w:rPr>
      </w:pPr>
      <w:r w:rsidRPr="00F757F2">
        <w:rPr>
          <w:rFonts w:cstheme="minorHAnsi"/>
          <w:b/>
          <w:bCs/>
        </w:rPr>
        <w:t>Warunki Równoważności dla Produktu Równoważnego do Project (Plan 3):</w:t>
      </w:r>
    </w:p>
    <w:p w14:paraId="59190210" w14:textId="77777777" w:rsidR="00680622" w:rsidRPr="00F757F2" w:rsidRDefault="00680622" w:rsidP="00680622">
      <w:pPr>
        <w:pStyle w:val="Akapitzlist"/>
        <w:numPr>
          <w:ilvl w:val="0"/>
          <w:numId w:val="14"/>
        </w:numPr>
        <w:rPr>
          <w:rFonts w:cstheme="minorHAnsi"/>
        </w:rPr>
      </w:pPr>
      <w:r w:rsidRPr="00F757F2">
        <w:rPr>
          <w:rFonts w:cstheme="minorHAnsi"/>
        </w:rPr>
        <w:t>Dostępność Projektu w Sieci Web: Produkt musi umożliwiać zarządzanie projektami przez aplikację internetową bez konieczności instalacji lokalnej, zapewniając dostęp do projektów z poziomu dowolnej przeglądarki.</w:t>
      </w:r>
    </w:p>
    <w:p w14:paraId="2828AFC4" w14:textId="77777777" w:rsidR="00680622" w:rsidRPr="00F757F2" w:rsidRDefault="00680622" w:rsidP="00680622">
      <w:pPr>
        <w:pStyle w:val="Akapitzlist"/>
        <w:numPr>
          <w:ilvl w:val="0"/>
          <w:numId w:val="14"/>
        </w:numPr>
        <w:rPr>
          <w:rFonts w:cstheme="minorHAnsi"/>
        </w:rPr>
      </w:pPr>
      <w:r w:rsidRPr="00F757F2">
        <w:rPr>
          <w:rFonts w:cstheme="minorHAnsi"/>
        </w:rPr>
        <w:t>Klasyczne Aplikacje Projektowe: Oferowane rozwiązanie powinno zawierać instalowalną wersję klasycznych aplikacji projektowych z możliwością instalacji na wielu urządzeniach (co najmniej 5 PC).</w:t>
      </w:r>
    </w:p>
    <w:p w14:paraId="37EDDB7E" w14:textId="77777777" w:rsidR="00680622" w:rsidRPr="00F757F2" w:rsidRDefault="00680622" w:rsidP="00680622">
      <w:pPr>
        <w:pStyle w:val="Akapitzlist"/>
        <w:numPr>
          <w:ilvl w:val="0"/>
          <w:numId w:val="14"/>
        </w:numPr>
        <w:rPr>
          <w:rFonts w:cstheme="minorHAnsi"/>
        </w:rPr>
      </w:pPr>
      <w:r w:rsidRPr="00F757F2">
        <w:rPr>
          <w:rFonts w:cstheme="minorHAnsi"/>
        </w:rPr>
        <w:t>Zaawansowane Widoki Planowania: Produkt równoważny musi oferować różnorodne widoki planowania, w tym widok siatki, widok tablicy Kanban i widok osi czasu (Gantta), aby umożliwić szczegółowe i elastyczne planowanie projektu.</w:t>
      </w:r>
    </w:p>
    <w:p w14:paraId="577B778E" w14:textId="77777777" w:rsidR="00680622" w:rsidRPr="00F757F2" w:rsidRDefault="00680622" w:rsidP="00680622">
      <w:pPr>
        <w:pStyle w:val="Akapitzlist"/>
        <w:numPr>
          <w:ilvl w:val="0"/>
          <w:numId w:val="14"/>
        </w:numPr>
        <w:rPr>
          <w:rFonts w:cstheme="minorHAnsi"/>
        </w:rPr>
      </w:pPr>
      <w:r w:rsidRPr="00F757F2">
        <w:rPr>
          <w:rFonts w:cstheme="minorHAnsi"/>
        </w:rPr>
        <w:t>Współpraca i Współtworzenie: Narzędzie musi wspierać współpracę zespołową oraz umożliwiać współtworzenie, czyli jednoczesną pracę wielu użytkowników nad tym samym projektem.</w:t>
      </w:r>
    </w:p>
    <w:p w14:paraId="39CA9FF5" w14:textId="77777777" w:rsidR="00680622" w:rsidRPr="00F757F2" w:rsidRDefault="00680622" w:rsidP="00680622">
      <w:pPr>
        <w:pStyle w:val="Akapitzlist"/>
        <w:numPr>
          <w:ilvl w:val="0"/>
          <w:numId w:val="14"/>
        </w:numPr>
        <w:rPr>
          <w:rFonts w:cstheme="minorHAnsi"/>
        </w:rPr>
      </w:pPr>
      <w:r w:rsidRPr="00F757F2">
        <w:rPr>
          <w:rFonts w:cstheme="minorHAnsi"/>
        </w:rPr>
        <w:t>Plan Rozwoju: Produkt powinien umożliwiać dostęp do zaawansowanych narzędzi do planowania rozwoju projektów, w tym do odczytu planów rozwoju.</w:t>
      </w:r>
    </w:p>
    <w:p w14:paraId="5ED610B9" w14:textId="77777777" w:rsidR="00680622" w:rsidRPr="00F757F2" w:rsidRDefault="00680622" w:rsidP="00680622">
      <w:pPr>
        <w:pStyle w:val="Akapitzlist"/>
        <w:numPr>
          <w:ilvl w:val="0"/>
          <w:numId w:val="14"/>
        </w:numPr>
        <w:rPr>
          <w:rFonts w:cstheme="minorHAnsi"/>
        </w:rPr>
      </w:pPr>
      <w:r w:rsidRPr="00F757F2">
        <w:rPr>
          <w:rFonts w:cstheme="minorHAnsi"/>
        </w:rPr>
        <w:t>Funkcje Raportowania: Musi oferować kompleksowe funkcje raportowania umożliwiające szczegółową analizę postępu i wydajności projektów.</w:t>
      </w:r>
    </w:p>
    <w:p w14:paraId="48C5C586" w14:textId="77777777" w:rsidR="00680622" w:rsidRPr="00F757F2" w:rsidRDefault="00680622" w:rsidP="00680622">
      <w:pPr>
        <w:pStyle w:val="Akapitzlist"/>
        <w:numPr>
          <w:ilvl w:val="0"/>
          <w:numId w:val="14"/>
        </w:numPr>
        <w:rPr>
          <w:rFonts w:cstheme="minorHAnsi"/>
        </w:rPr>
      </w:pPr>
      <w:r w:rsidRPr="00F757F2">
        <w:rPr>
          <w:rFonts w:cstheme="minorHAnsi"/>
        </w:rPr>
        <w:t>Zarządzanie Zasobami: Produkt równoważny powinien zawierać narzędzia do zarządzania zasobami, w tym możliwość przydzielania i monitorowania zasobów w projektach.</w:t>
      </w:r>
    </w:p>
    <w:p w14:paraId="5A0E20CC" w14:textId="77777777" w:rsidR="00680622" w:rsidRPr="00F757F2" w:rsidRDefault="00680622" w:rsidP="00680622">
      <w:pPr>
        <w:pStyle w:val="Akapitzlist"/>
        <w:numPr>
          <w:ilvl w:val="0"/>
          <w:numId w:val="14"/>
        </w:numPr>
        <w:rPr>
          <w:rFonts w:cstheme="minorHAnsi"/>
        </w:rPr>
      </w:pPr>
      <w:r w:rsidRPr="00F757F2">
        <w:rPr>
          <w:rFonts w:cstheme="minorHAnsi"/>
        </w:rPr>
        <w:t>Optymalizacja Portfela Projektów: Oferowane rozwiązanie musi umożliwiać wybór i optymalizację portfela projektów, pomagając w podejmowaniu decyzji dotyczących priorytetyzacji i alokacji zasobów.</w:t>
      </w:r>
    </w:p>
    <w:p w14:paraId="7B3D9650" w14:textId="39C51D9F" w:rsidR="00680622" w:rsidRPr="00F757F2" w:rsidRDefault="00680622" w:rsidP="00680622">
      <w:pPr>
        <w:pStyle w:val="Akapitzlist"/>
        <w:numPr>
          <w:ilvl w:val="0"/>
          <w:numId w:val="14"/>
        </w:numPr>
        <w:rPr>
          <w:rFonts w:cstheme="minorHAnsi"/>
        </w:rPr>
      </w:pPr>
      <w:r w:rsidRPr="00F757F2">
        <w:rPr>
          <w:rFonts w:cstheme="minorHAnsi"/>
        </w:rPr>
        <w:t>Zarządzanie Potrzebami i Zasobami Przedsiębiorstwa: Narzędzie powinno oferować możliwości zarządzania potrzebami projektowymi oraz zasobami przedsiębiorstwa, w tym planowanie i alokacja zasobów między projektami.</w:t>
      </w:r>
    </w:p>
    <w:p w14:paraId="4999BAE2" w14:textId="663786DC" w:rsidR="00592DDD" w:rsidRPr="00F757F2" w:rsidRDefault="00CE1693" w:rsidP="00680622">
      <w:pPr>
        <w:rPr>
          <w:rFonts w:cstheme="minorHAnsi"/>
          <w:b/>
          <w:bCs/>
        </w:rPr>
      </w:pPr>
      <w:r w:rsidRPr="00F757F2">
        <w:rPr>
          <w:rFonts w:cstheme="minorHAnsi"/>
          <w:b/>
          <w:bCs/>
        </w:rPr>
        <w:t>Warunki Równoważności dla Produktu Równoważnego do Project Plan 1:</w:t>
      </w:r>
    </w:p>
    <w:p w14:paraId="3C155BDA" w14:textId="162261F9" w:rsidR="00CA3934" w:rsidRPr="00F757F2" w:rsidRDefault="00CA3934" w:rsidP="00CA3934">
      <w:pPr>
        <w:pStyle w:val="Akapitzlist"/>
        <w:numPr>
          <w:ilvl w:val="0"/>
          <w:numId w:val="13"/>
        </w:numPr>
        <w:rPr>
          <w:rFonts w:cstheme="minorHAnsi"/>
        </w:rPr>
      </w:pPr>
      <w:r w:rsidRPr="00F757F2">
        <w:rPr>
          <w:rFonts w:cstheme="minorHAnsi"/>
        </w:rPr>
        <w:t>Program Project dla Sieci Web: Musi oferować możliwość zarządzania projektami przez aplikację internetową, umożliwiając łatwy dostęp do projektów z poziomu dowolnej przeglądarki internetowej.</w:t>
      </w:r>
    </w:p>
    <w:p w14:paraId="135CE287" w14:textId="1BFBBA54" w:rsidR="00CA3934" w:rsidRPr="00F757F2" w:rsidRDefault="00CA3934" w:rsidP="00CA3934">
      <w:pPr>
        <w:pStyle w:val="Akapitzlist"/>
        <w:numPr>
          <w:ilvl w:val="0"/>
          <w:numId w:val="13"/>
        </w:numPr>
        <w:rPr>
          <w:rFonts w:cstheme="minorHAnsi"/>
        </w:rPr>
      </w:pPr>
      <w:r w:rsidRPr="00F757F2">
        <w:rPr>
          <w:rFonts w:cstheme="minorHAnsi"/>
        </w:rPr>
        <w:t>Widok Siatki: Narzędzie powinno umożliwiać przeglądanie i zarządzanie zadaniami projektowymi w widoku siatki, co ułatwia organizację i monitorowanie postępów.</w:t>
      </w:r>
    </w:p>
    <w:p w14:paraId="42153B3E" w14:textId="58824C0A" w:rsidR="00CA3934" w:rsidRPr="00F757F2" w:rsidRDefault="00CA3934" w:rsidP="00CA3934">
      <w:pPr>
        <w:pStyle w:val="Akapitzlist"/>
        <w:numPr>
          <w:ilvl w:val="0"/>
          <w:numId w:val="13"/>
        </w:numPr>
        <w:rPr>
          <w:rFonts w:cstheme="minorHAnsi"/>
        </w:rPr>
      </w:pPr>
      <w:r w:rsidRPr="00F757F2">
        <w:rPr>
          <w:rFonts w:cstheme="minorHAnsi"/>
        </w:rPr>
        <w:lastRenderedPageBreak/>
        <w:t>Widok Tablicy: Powinien zawierać funkcjonalność widoku tablicy (Kanban), umożliwiającą wizualizację i zarządzanie przepływem pracy w projekcie.</w:t>
      </w:r>
    </w:p>
    <w:p w14:paraId="4EAFB45B" w14:textId="22D39B27" w:rsidR="00CA3934" w:rsidRPr="00F757F2" w:rsidRDefault="00CA3934" w:rsidP="00CA3934">
      <w:pPr>
        <w:pStyle w:val="Akapitzlist"/>
        <w:numPr>
          <w:ilvl w:val="0"/>
          <w:numId w:val="13"/>
        </w:numPr>
        <w:rPr>
          <w:rFonts w:cstheme="minorHAnsi"/>
        </w:rPr>
      </w:pPr>
      <w:r w:rsidRPr="00F757F2">
        <w:rPr>
          <w:rFonts w:cstheme="minorHAnsi"/>
        </w:rPr>
        <w:t>Widok Osi Czasu (Gantta): Musi umożliwiać planowanie projektów z wykorzystaniem widoku osi czasu, oferując użytkownikom możliwość szczegółowego planowania zależności między zadaniami.</w:t>
      </w:r>
    </w:p>
    <w:p w14:paraId="2D50F1C3" w14:textId="04C94CF5" w:rsidR="00CA3934" w:rsidRPr="00F757F2" w:rsidRDefault="00CA3934" w:rsidP="00CA3934">
      <w:pPr>
        <w:pStyle w:val="Akapitzlist"/>
        <w:numPr>
          <w:ilvl w:val="0"/>
          <w:numId w:val="13"/>
        </w:numPr>
        <w:rPr>
          <w:rFonts w:cstheme="minorHAnsi"/>
        </w:rPr>
      </w:pPr>
      <w:r w:rsidRPr="00F757F2">
        <w:rPr>
          <w:rFonts w:cstheme="minorHAnsi"/>
        </w:rPr>
        <w:t>Współpraca i Komunikacja: Narzędzie powinno wspierać współpracę zespołową, oferując funkcje komunikacji między członkami zespołu projektowego.</w:t>
      </w:r>
    </w:p>
    <w:p w14:paraId="5E08A2B5" w14:textId="45BD21C6" w:rsidR="00CA3934" w:rsidRPr="00F757F2" w:rsidRDefault="00CA3934" w:rsidP="00CA3934">
      <w:pPr>
        <w:pStyle w:val="Akapitzlist"/>
        <w:numPr>
          <w:ilvl w:val="0"/>
          <w:numId w:val="13"/>
        </w:numPr>
        <w:rPr>
          <w:rFonts w:cstheme="minorHAnsi"/>
        </w:rPr>
      </w:pPr>
      <w:r w:rsidRPr="00F757F2">
        <w:rPr>
          <w:rFonts w:cstheme="minorHAnsi"/>
        </w:rPr>
        <w:t>Współtworzenie: Musi umożliwiać jednoczesną pracę wielu użytkowników nad projektami, co pozwala na efektywną współpracę w czasie rzeczywistym.</w:t>
      </w:r>
    </w:p>
    <w:p w14:paraId="7DF9D21B" w14:textId="3E201E5C" w:rsidR="00CA3934" w:rsidRPr="00F757F2" w:rsidRDefault="00CA3934" w:rsidP="00CA3934">
      <w:pPr>
        <w:pStyle w:val="Akapitzlist"/>
        <w:numPr>
          <w:ilvl w:val="0"/>
          <w:numId w:val="13"/>
        </w:numPr>
        <w:rPr>
          <w:rFonts w:cstheme="minorHAnsi"/>
        </w:rPr>
      </w:pPr>
      <w:r w:rsidRPr="00F757F2">
        <w:rPr>
          <w:rFonts w:cstheme="minorHAnsi"/>
        </w:rPr>
        <w:t>Raportowanie: Produkt równoważny powinien zawierać funkcje raportowania, które pozwalają na generowanie szczegółowych raportów dotyczących postępu i stanu projektów.</w:t>
      </w:r>
    </w:p>
    <w:p w14:paraId="7EFD056B" w14:textId="08334632" w:rsidR="00CA3934" w:rsidRPr="00F757F2" w:rsidRDefault="00CA3934" w:rsidP="00CA3934">
      <w:pPr>
        <w:pStyle w:val="Akapitzlist"/>
        <w:numPr>
          <w:ilvl w:val="0"/>
          <w:numId w:val="13"/>
        </w:numPr>
        <w:rPr>
          <w:rFonts w:cstheme="minorHAnsi"/>
        </w:rPr>
      </w:pPr>
      <w:r w:rsidRPr="00F757F2">
        <w:rPr>
          <w:rFonts w:cstheme="minorHAnsi"/>
        </w:rPr>
        <w:t>Przesyłanie Grafików: Musi umożliwiać łatwe przesyłanie grafik projektowych i udostępnianie ich w zespole projektowym.</w:t>
      </w:r>
    </w:p>
    <w:p w14:paraId="71CE27A2" w14:textId="4BC5E65C" w:rsidR="001912D5" w:rsidRPr="00F757F2" w:rsidRDefault="00CA3934" w:rsidP="00CA3934">
      <w:pPr>
        <w:pStyle w:val="Akapitzlist"/>
        <w:numPr>
          <w:ilvl w:val="0"/>
          <w:numId w:val="13"/>
        </w:numPr>
        <w:rPr>
          <w:rFonts w:cstheme="minorHAnsi"/>
        </w:rPr>
      </w:pPr>
      <w:r w:rsidRPr="00F757F2">
        <w:rPr>
          <w:rFonts w:cstheme="minorHAnsi"/>
        </w:rPr>
        <w:t>Zarządzanie Zasobami: Narzędzie powinno oferować zaawansowane możliwości zarządzania zasobami projektowymi, w tym planowanie i monitorowanie dostępności i wykorzystania zasobów.</w:t>
      </w:r>
    </w:p>
    <w:p w14:paraId="31B04909" w14:textId="5A5E6178" w:rsidR="00174F8E" w:rsidRPr="00F757F2" w:rsidRDefault="00174F8E" w:rsidP="00174F8E">
      <w:pPr>
        <w:rPr>
          <w:rFonts w:cstheme="minorHAnsi"/>
          <w:b/>
          <w:bCs/>
        </w:rPr>
      </w:pPr>
      <w:r w:rsidRPr="00F757F2">
        <w:rPr>
          <w:rFonts w:cstheme="minorHAnsi"/>
          <w:b/>
          <w:bCs/>
        </w:rPr>
        <w:t>Warunki Równoważności dla Produktu Równoważnego do Visio (Plan 2):</w:t>
      </w:r>
    </w:p>
    <w:p w14:paraId="7C8442E9" w14:textId="77777777" w:rsidR="006A4B5E" w:rsidRPr="00F757F2" w:rsidRDefault="006A4B5E" w:rsidP="006A4B5E">
      <w:pPr>
        <w:pStyle w:val="Akapitzlist"/>
        <w:numPr>
          <w:ilvl w:val="0"/>
          <w:numId w:val="10"/>
        </w:numPr>
        <w:rPr>
          <w:rFonts w:cstheme="minorHAnsi"/>
        </w:rPr>
      </w:pPr>
      <w:r w:rsidRPr="00F757F2">
        <w:rPr>
          <w:rFonts w:cstheme="minorHAnsi"/>
        </w:rPr>
        <w:t>Licencja: Produkt równoważny powinien być dostarczany z licencją komercyjną odpowiednią do użytku w środowisku korporacyjnym.</w:t>
      </w:r>
    </w:p>
    <w:p w14:paraId="3FE8BEE3" w14:textId="77777777" w:rsidR="006A4B5E" w:rsidRPr="00F757F2" w:rsidRDefault="006A4B5E" w:rsidP="006A4B5E">
      <w:pPr>
        <w:pStyle w:val="Akapitzlist"/>
        <w:numPr>
          <w:ilvl w:val="0"/>
          <w:numId w:val="10"/>
        </w:numPr>
        <w:rPr>
          <w:rFonts w:cstheme="minorHAnsi"/>
        </w:rPr>
      </w:pPr>
      <w:r w:rsidRPr="00F757F2">
        <w:rPr>
          <w:rFonts w:cstheme="minorHAnsi"/>
        </w:rPr>
        <w:t>Tworzenie Diagramów: Narzędzie musi umożliwiać tworzenie szerokiej gamy diagramów, wsparcie dla procesów biznesowych, mapowanie IT, planowanie architektury, itp.</w:t>
      </w:r>
    </w:p>
    <w:p w14:paraId="31A971F2" w14:textId="77777777" w:rsidR="006A4B5E" w:rsidRPr="00F757F2" w:rsidRDefault="006A4B5E" w:rsidP="006A4B5E">
      <w:pPr>
        <w:pStyle w:val="Akapitzlist"/>
        <w:numPr>
          <w:ilvl w:val="0"/>
          <w:numId w:val="10"/>
        </w:numPr>
        <w:rPr>
          <w:rFonts w:cstheme="minorHAnsi"/>
        </w:rPr>
      </w:pPr>
      <w:r w:rsidRPr="00F757F2">
        <w:rPr>
          <w:rFonts w:cstheme="minorHAnsi"/>
        </w:rPr>
        <w:t>Szablony: Musi zawierać bogatą bibliotekę szablonów umożliwiających szybkie i efektywne tworzenie diagramów.</w:t>
      </w:r>
    </w:p>
    <w:p w14:paraId="271FF554" w14:textId="77777777" w:rsidR="006A4B5E" w:rsidRPr="00F757F2" w:rsidRDefault="006A4B5E" w:rsidP="006A4B5E">
      <w:pPr>
        <w:pStyle w:val="Akapitzlist"/>
        <w:numPr>
          <w:ilvl w:val="0"/>
          <w:numId w:val="10"/>
        </w:numPr>
        <w:rPr>
          <w:rFonts w:cstheme="minorHAnsi"/>
        </w:rPr>
      </w:pPr>
      <w:r w:rsidRPr="00F757F2">
        <w:rPr>
          <w:rFonts w:cstheme="minorHAnsi"/>
        </w:rPr>
        <w:t>Schematy Blokowe: Narzędzie powinno oferować możliwość tworzenia szczegółowych schematów blokowych, niezbędnych w dokumentacji technicznej i procesach biznesowych.</w:t>
      </w:r>
    </w:p>
    <w:p w14:paraId="51D7256C" w14:textId="77777777" w:rsidR="006A4B5E" w:rsidRPr="00F757F2" w:rsidRDefault="006A4B5E" w:rsidP="006A4B5E">
      <w:pPr>
        <w:pStyle w:val="Akapitzlist"/>
        <w:numPr>
          <w:ilvl w:val="0"/>
          <w:numId w:val="10"/>
        </w:numPr>
        <w:rPr>
          <w:rFonts w:cstheme="minorHAnsi"/>
        </w:rPr>
      </w:pPr>
      <w:r w:rsidRPr="00F757F2">
        <w:rPr>
          <w:rFonts w:cstheme="minorHAnsi"/>
        </w:rPr>
        <w:t>Aplikacja Internetowa: Produkt równoważny musi oferować aplikację webową, pozwalającą na tworzenie, edycję i współdzielenie diagramów online.</w:t>
      </w:r>
    </w:p>
    <w:p w14:paraId="7AD81269" w14:textId="77777777" w:rsidR="006A4B5E" w:rsidRPr="00F757F2" w:rsidRDefault="006A4B5E" w:rsidP="006A4B5E">
      <w:pPr>
        <w:pStyle w:val="Akapitzlist"/>
        <w:numPr>
          <w:ilvl w:val="0"/>
          <w:numId w:val="10"/>
        </w:numPr>
        <w:rPr>
          <w:rFonts w:cstheme="minorHAnsi"/>
        </w:rPr>
      </w:pPr>
      <w:r w:rsidRPr="00F757F2">
        <w:rPr>
          <w:rFonts w:cstheme="minorHAnsi"/>
        </w:rPr>
        <w:t>Przestrzeń Dyskowa w Chmurze: Powinien zapewniać przestrzeń dyskową w chmurze (równoważną 2 GB dysku OneDrive) do przechowywania i dzielenia się diagramami.</w:t>
      </w:r>
    </w:p>
    <w:p w14:paraId="1F349826" w14:textId="77777777" w:rsidR="006A4B5E" w:rsidRPr="00F757F2" w:rsidRDefault="006A4B5E" w:rsidP="006A4B5E">
      <w:pPr>
        <w:pStyle w:val="Akapitzlist"/>
        <w:numPr>
          <w:ilvl w:val="0"/>
          <w:numId w:val="10"/>
        </w:numPr>
        <w:rPr>
          <w:rFonts w:cstheme="minorHAnsi"/>
        </w:rPr>
      </w:pPr>
      <w:r w:rsidRPr="00F757F2">
        <w:rPr>
          <w:rFonts w:cstheme="minorHAnsi"/>
        </w:rPr>
        <w:t>Wsparcie dla Standardów i Notacji: Musi wspierać notacje BPMN 2.0, UML 2.5 oraz standardy IEEE, umożliwiając tworzenie diagramów zgodnych z międzynarodowymi standardami.</w:t>
      </w:r>
    </w:p>
    <w:p w14:paraId="6D6389FB" w14:textId="77777777" w:rsidR="006A4B5E" w:rsidRPr="00F757F2" w:rsidRDefault="006A4B5E" w:rsidP="006A4B5E">
      <w:pPr>
        <w:pStyle w:val="Akapitzlist"/>
        <w:numPr>
          <w:ilvl w:val="0"/>
          <w:numId w:val="10"/>
        </w:numPr>
        <w:rPr>
          <w:rFonts w:cstheme="minorHAnsi"/>
        </w:rPr>
      </w:pPr>
      <w:r w:rsidRPr="00F757F2">
        <w:rPr>
          <w:rFonts w:cstheme="minorHAnsi"/>
        </w:rPr>
        <w:t>Obsługa Pisma Odręcznego: Narzędzie powinno umożliwiać wprowadzanie danych pismem odręcznym, co jest szczególnie przydatne na urządzeniach z ekranem dotykowym.</w:t>
      </w:r>
    </w:p>
    <w:p w14:paraId="16BC1A45" w14:textId="77777777" w:rsidR="006A4B5E" w:rsidRPr="00F757F2" w:rsidRDefault="006A4B5E" w:rsidP="006A4B5E">
      <w:pPr>
        <w:pStyle w:val="Akapitzlist"/>
        <w:numPr>
          <w:ilvl w:val="0"/>
          <w:numId w:val="10"/>
        </w:numPr>
        <w:rPr>
          <w:rFonts w:cstheme="minorHAnsi"/>
        </w:rPr>
      </w:pPr>
      <w:r w:rsidRPr="00F757F2">
        <w:rPr>
          <w:rFonts w:cstheme="minorHAnsi"/>
        </w:rPr>
        <w:t>Integracja z AutoCAD: Produkt równoważny musi umożliwiać importowanie, przeglądanie i edycję plików AutoCAD.</w:t>
      </w:r>
    </w:p>
    <w:p w14:paraId="160A03A0" w14:textId="7C185B17" w:rsidR="001912D5" w:rsidRPr="00F757F2" w:rsidRDefault="006A4B5E" w:rsidP="006A4B5E">
      <w:pPr>
        <w:pStyle w:val="Akapitzlist"/>
        <w:numPr>
          <w:ilvl w:val="0"/>
          <w:numId w:val="10"/>
        </w:numPr>
        <w:rPr>
          <w:rFonts w:cstheme="minorHAnsi"/>
        </w:rPr>
      </w:pPr>
      <w:r w:rsidRPr="00F757F2">
        <w:rPr>
          <w:rFonts w:cstheme="minorHAnsi"/>
        </w:rPr>
        <w:t>Aplikacja Klasyczna: Dodatkowo, narzędzie równoważne powinno zawierać klasyczną wersję desktopową aplikacji, która może być zainstalowana na lokalnych maszynach użytkowników, zapewniając pełną funkcjonalność bez konieczności połączenia z Internetem.</w:t>
      </w:r>
    </w:p>
    <w:p w14:paraId="7F59BCF9" w14:textId="20E9556A" w:rsidR="003167E2" w:rsidRPr="00F757F2" w:rsidRDefault="003167E2" w:rsidP="006C6064">
      <w:pPr>
        <w:rPr>
          <w:rFonts w:cstheme="minorHAnsi"/>
        </w:rPr>
      </w:pPr>
    </w:p>
    <w:sectPr w:rsidR="003167E2" w:rsidRPr="00F757F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6184" w14:textId="77777777" w:rsidR="00CA7096" w:rsidRDefault="00CA7096" w:rsidP="00CA7096">
      <w:pPr>
        <w:spacing w:after="0" w:line="240" w:lineRule="auto"/>
      </w:pPr>
      <w:r>
        <w:separator/>
      </w:r>
    </w:p>
  </w:endnote>
  <w:endnote w:type="continuationSeparator" w:id="0">
    <w:p w14:paraId="62D27A99" w14:textId="77777777" w:rsidR="00CA7096" w:rsidRDefault="00CA7096" w:rsidP="00C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284" w14:textId="77777777" w:rsidR="00CA7096" w:rsidRDefault="00CA7096" w:rsidP="00CA7096">
      <w:pPr>
        <w:spacing w:after="0" w:line="240" w:lineRule="auto"/>
      </w:pPr>
      <w:r>
        <w:separator/>
      </w:r>
    </w:p>
  </w:footnote>
  <w:footnote w:type="continuationSeparator" w:id="0">
    <w:p w14:paraId="5D58C030" w14:textId="77777777" w:rsidR="00CA7096" w:rsidRDefault="00CA7096" w:rsidP="00CA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6AE9" w14:textId="14AD1017" w:rsidR="00CA7096" w:rsidRDefault="00CA7096">
    <w:pPr>
      <w:pStyle w:val="Nagwek"/>
    </w:pPr>
    <w:r>
      <w:t xml:space="preserve">                                                                                                                                      Nr sprawy: BF-IV.2370.3.2024</w:t>
    </w:r>
  </w:p>
  <w:p w14:paraId="38457D96" w14:textId="5C806315" w:rsidR="00CA7096" w:rsidRDefault="00CA7096">
    <w:pPr>
      <w:pStyle w:val="Nagwek"/>
    </w:pPr>
    <w:r>
      <w:t xml:space="preserve">                                                                                                                                      Załącznik nr 1 do SWZ/umowy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29DD"/>
    <w:multiLevelType w:val="hybridMultilevel"/>
    <w:tmpl w:val="ACEED450"/>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35BF"/>
    <w:multiLevelType w:val="hybridMultilevel"/>
    <w:tmpl w:val="48D2F0C2"/>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5E89"/>
    <w:multiLevelType w:val="hybridMultilevel"/>
    <w:tmpl w:val="5364AC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D30E4C"/>
    <w:multiLevelType w:val="hybridMultilevel"/>
    <w:tmpl w:val="5364ACCE"/>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05BB1"/>
    <w:multiLevelType w:val="hybridMultilevel"/>
    <w:tmpl w:val="D6785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B1667"/>
    <w:multiLevelType w:val="hybridMultilevel"/>
    <w:tmpl w:val="C7DE3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501ED"/>
    <w:multiLevelType w:val="hybridMultilevel"/>
    <w:tmpl w:val="2B1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53A93"/>
    <w:multiLevelType w:val="hybridMultilevel"/>
    <w:tmpl w:val="87E02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350DC"/>
    <w:multiLevelType w:val="hybridMultilevel"/>
    <w:tmpl w:val="802C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C6713"/>
    <w:multiLevelType w:val="hybridMultilevel"/>
    <w:tmpl w:val="7D4E876A"/>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6225098"/>
    <w:multiLevelType w:val="hybridMultilevel"/>
    <w:tmpl w:val="53EAC31A"/>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638C5"/>
    <w:multiLevelType w:val="hybridMultilevel"/>
    <w:tmpl w:val="3EF0031C"/>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E6EB9"/>
    <w:multiLevelType w:val="hybridMultilevel"/>
    <w:tmpl w:val="3F9A5F82"/>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97E9B"/>
    <w:multiLevelType w:val="hybridMultilevel"/>
    <w:tmpl w:val="879C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F71AF"/>
    <w:multiLevelType w:val="hybridMultilevel"/>
    <w:tmpl w:val="103644D8"/>
    <w:lvl w:ilvl="0" w:tplc="76F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662672">
    <w:abstractNumId w:val="13"/>
  </w:num>
  <w:num w:numId="2" w16cid:durableId="534932117">
    <w:abstractNumId w:val="6"/>
  </w:num>
  <w:num w:numId="3" w16cid:durableId="248119591">
    <w:abstractNumId w:val="5"/>
  </w:num>
  <w:num w:numId="4" w16cid:durableId="2108693740">
    <w:abstractNumId w:val="8"/>
  </w:num>
  <w:num w:numId="5" w16cid:durableId="1902011139">
    <w:abstractNumId w:val="7"/>
  </w:num>
  <w:num w:numId="6" w16cid:durableId="187255907">
    <w:abstractNumId w:val="9"/>
  </w:num>
  <w:num w:numId="7" w16cid:durableId="1316490088">
    <w:abstractNumId w:val="12"/>
  </w:num>
  <w:num w:numId="8" w16cid:durableId="131869482">
    <w:abstractNumId w:val="1"/>
  </w:num>
  <w:num w:numId="9" w16cid:durableId="1578439492">
    <w:abstractNumId w:val="10"/>
  </w:num>
  <w:num w:numId="10" w16cid:durableId="976108870">
    <w:abstractNumId w:val="14"/>
  </w:num>
  <w:num w:numId="11" w16cid:durableId="324625392">
    <w:abstractNumId w:val="11"/>
  </w:num>
  <w:num w:numId="12" w16cid:durableId="686717544">
    <w:abstractNumId w:val="3"/>
  </w:num>
  <w:num w:numId="13" w16cid:durableId="2085033235">
    <w:abstractNumId w:val="2"/>
  </w:num>
  <w:num w:numId="14" w16cid:durableId="1341814086">
    <w:abstractNumId w:val="0"/>
  </w:num>
  <w:num w:numId="15" w16cid:durableId="1872525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4C"/>
    <w:rsid w:val="000119C5"/>
    <w:rsid w:val="00047E72"/>
    <w:rsid w:val="001000C7"/>
    <w:rsid w:val="0011020D"/>
    <w:rsid w:val="00111A64"/>
    <w:rsid w:val="00144953"/>
    <w:rsid w:val="00173F05"/>
    <w:rsid w:val="00174F8E"/>
    <w:rsid w:val="00176A97"/>
    <w:rsid w:val="001912D5"/>
    <w:rsid w:val="001D5DAF"/>
    <w:rsid w:val="00253794"/>
    <w:rsid w:val="002541D1"/>
    <w:rsid w:val="00265519"/>
    <w:rsid w:val="00286B50"/>
    <w:rsid w:val="002C08B3"/>
    <w:rsid w:val="002C4665"/>
    <w:rsid w:val="002D135D"/>
    <w:rsid w:val="003167E2"/>
    <w:rsid w:val="00326BB0"/>
    <w:rsid w:val="00333D2F"/>
    <w:rsid w:val="00341495"/>
    <w:rsid w:val="00342402"/>
    <w:rsid w:val="003D249A"/>
    <w:rsid w:val="004038BE"/>
    <w:rsid w:val="0047239A"/>
    <w:rsid w:val="004A0E14"/>
    <w:rsid w:val="004D01EE"/>
    <w:rsid w:val="004E2202"/>
    <w:rsid w:val="00500F54"/>
    <w:rsid w:val="005256BA"/>
    <w:rsid w:val="00542562"/>
    <w:rsid w:val="005565CC"/>
    <w:rsid w:val="00571E76"/>
    <w:rsid w:val="00592DDD"/>
    <w:rsid w:val="005D0D4F"/>
    <w:rsid w:val="00605334"/>
    <w:rsid w:val="00605894"/>
    <w:rsid w:val="00653ADF"/>
    <w:rsid w:val="00680162"/>
    <w:rsid w:val="00680622"/>
    <w:rsid w:val="006A4B5E"/>
    <w:rsid w:val="006C6064"/>
    <w:rsid w:val="006D03F8"/>
    <w:rsid w:val="006D6F43"/>
    <w:rsid w:val="006E5D74"/>
    <w:rsid w:val="00702BA2"/>
    <w:rsid w:val="00702F9F"/>
    <w:rsid w:val="00712DE7"/>
    <w:rsid w:val="00741765"/>
    <w:rsid w:val="00783430"/>
    <w:rsid w:val="007906B0"/>
    <w:rsid w:val="00792E63"/>
    <w:rsid w:val="007A24D5"/>
    <w:rsid w:val="007F2527"/>
    <w:rsid w:val="00803C02"/>
    <w:rsid w:val="00863951"/>
    <w:rsid w:val="008D2D2C"/>
    <w:rsid w:val="0093564A"/>
    <w:rsid w:val="009652D6"/>
    <w:rsid w:val="009745A3"/>
    <w:rsid w:val="009C0CFC"/>
    <w:rsid w:val="009F0876"/>
    <w:rsid w:val="00A3053E"/>
    <w:rsid w:val="00A32C94"/>
    <w:rsid w:val="00A4123A"/>
    <w:rsid w:val="00A45276"/>
    <w:rsid w:val="00A634D8"/>
    <w:rsid w:val="00A700DF"/>
    <w:rsid w:val="00A72501"/>
    <w:rsid w:val="00A87C24"/>
    <w:rsid w:val="00AC640A"/>
    <w:rsid w:val="00AC65E0"/>
    <w:rsid w:val="00AC7D0E"/>
    <w:rsid w:val="00AD742C"/>
    <w:rsid w:val="00AD7AFA"/>
    <w:rsid w:val="00B14D1F"/>
    <w:rsid w:val="00B40DC6"/>
    <w:rsid w:val="00B95F5A"/>
    <w:rsid w:val="00B96690"/>
    <w:rsid w:val="00BB02E1"/>
    <w:rsid w:val="00BB484C"/>
    <w:rsid w:val="00BC6DFF"/>
    <w:rsid w:val="00BF3B0A"/>
    <w:rsid w:val="00BF50B2"/>
    <w:rsid w:val="00C01E59"/>
    <w:rsid w:val="00C22CC5"/>
    <w:rsid w:val="00C33DD8"/>
    <w:rsid w:val="00C41150"/>
    <w:rsid w:val="00C43673"/>
    <w:rsid w:val="00C911E0"/>
    <w:rsid w:val="00C933AA"/>
    <w:rsid w:val="00CA3934"/>
    <w:rsid w:val="00CA7096"/>
    <w:rsid w:val="00CB0056"/>
    <w:rsid w:val="00CC26E3"/>
    <w:rsid w:val="00CE03B9"/>
    <w:rsid w:val="00CE1693"/>
    <w:rsid w:val="00CE4F1A"/>
    <w:rsid w:val="00CF489D"/>
    <w:rsid w:val="00D86DB4"/>
    <w:rsid w:val="00DB2E2E"/>
    <w:rsid w:val="00DF0CF7"/>
    <w:rsid w:val="00E0673E"/>
    <w:rsid w:val="00E168BB"/>
    <w:rsid w:val="00E30808"/>
    <w:rsid w:val="00E71012"/>
    <w:rsid w:val="00EA1542"/>
    <w:rsid w:val="00EC23F3"/>
    <w:rsid w:val="00F45624"/>
    <w:rsid w:val="00F757F2"/>
    <w:rsid w:val="00F779C5"/>
    <w:rsid w:val="00F9242C"/>
    <w:rsid w:val="00FD7704"/>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C21"/>
  <w15:chartTrackingRefBased/>
  <w15:docId w15:val="{48FA876F-01A1-421B-877C-1B077979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9C5"/>
    <w:pPr>
      <w:ind w:left="720"/>
      <w:contextualSpacing/>
    </w:pPr>
  </w:style>
  <w:style w:type="table" w:styleId="Tabela-Siatka">
    <w:name w:val="Table Grid"/>
    <w:basedOn w:val="Standardowy"/>
    <w:uiPriority w:val="39"/>
    <w:rsid w:val="0011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B14D1F"/>
    <w:rPr>
      <w:i/>
      <w:iCs/>
    </w:rPr>
  </w:style>
  <w:style w:type="paragraph" w:styleId="Nagwek">
    <w:name w:val="header"/>
    <w:basedOn w:val="Normalny"/>
    <w:link w:val="NagwekZnak"/>
    <w:uiPriority w:val="99"/>
    <w:unhideWhenUsed/>
    <w:rsid w:val="00CA7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096"/>
    <w:rPr>
      <w:lang w:val="pl-PL"/>
    </w:rPr>
  </w:style>
  <w:style w:type="paragraph" w:styleId="Stopka">
    <w:name w:val="footer"/>
    <w:basedOn w:val="Normalny"/>
    <w:link w:val="StopkaZnak"/>
    <w:uiPriority w:val="99"/>
    <w:unhideWhenUsed/>
    <w:rsid w:val="00CA7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096"/>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EAF97784E054ABE6BC0329CDEA1AB" ma:contentTypeVersion="12" ma:contentTypeDescription="Utwórz nowy dokument." ma:contentTypeScope="" ma:versionID="142b1cf7dda194d4a80c7d38ebf13f76">
  <xsd:schema xmlns:xsd="http://www.w3.org/2001/XMLSchema" xmlns:xs="http://www.w3.org/2001/XMLSchema" xmlns:p="http://schemas.microsoft.com/office/2006/metadata/properties" xmlns:ns2="54c34368-5887-40c6-82df-1ca16f457ee3" xmlns:ns3="ec606939-a8d2-4ea0-919d-a83a4e798abb" targetNamespace="http://schemas.microsoft.com/office/2006/metadata/properties" ma:root="true" ma:fieldsID="4bdc77fd422e60d050a969791fcdc90f" ns2:_="" ns3:_="">
    <xsd:import namespace="54c34368-5887-40c6-82df-1ca16f457ee3"/>
    <xsd:import namespace="ec606939-a8d2-4ea0-919d-a83a4e798a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34368-5887-40c6-82df-1ca16f457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571f30af-59c0-4914-8a9b-375b6429d46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06939-a8d2-4ea0-919d-a83a4e798a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568609-ad5c-4825-a903-09990c3a9655}" ma:internalName="TaxCatchAll" ma:showField="CatchAllData" ma:web="ec606939-a8d2-4ea0-919d-a83a4e798ab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c606939-a8d2-4ea0-919d-a83a4e798abb" xsi:nil="true"/>
    <lcf76f155ced4ddcb4097134ff3c332f xmlns="54c34368-5887-40c6-82df-1ca16f457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598C14-3A8D-42F6-AD6B-0AFC162F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34368-5887-40c6-82df-1ca16f457ee3"/>
    <ds:schemaRef ds:uri="ec606939-a8d2-4ea0-919d-a83a4e798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B92F3-EA3C-4E99-B299-948B278605AA}">
  <ds:schemaRefs>
    <ds:schemaRef ds:uri="http://schemas.microsoft.com/sharepoint/v3/contenttype/forms"/>
  </ds:schemaRefs>
</ds:datastoreItem>
</file>

<file path=customXml/itemProps3.xml><?xml version="1.0" encoding="utf-8"?>
<ds:datastoreItem xmlns:ds="http://schemas.openxmlformats.org/officeDocument/2006/customXml" ds:itemID="{ED0FB151-166B-42B1-BE56-D96130D474DC}">
  <ds:schemaRefs>
    <ds:schemaRef ds:uri="http://schemas.openxmlformats.org/officeDocument/2006/bibliography"/>
  </ds:schemaRefs>
</ds:datastoreItem>
</file>

<file path=customXml/itemProps4.xml><?xml version="1.0" encoding="utf-8"?>
<ds:datastoreItem xmlns:ds="http://schemas.openxmlformats.org/officeDocument/2006/customXml" ds:itemID="{00C18680-04A5-487D-AB5B-3B8CC9C7E052}">
  <ds:schemaRefs>
    <ds:schemaRef ds:uri="http://schemas.microsoft.com/office/2006/metadata/properties"/>
    <ds:schemaRef ds:uri="http://schemas.microsoft.com/office/infopath/2007/PartnerControls"/>
    <ds:schemaRef ds:uri="ec606939-a8d2-4ea0-919d-a83a4e798abb"/>
    <ds:schemaRef ds:uri="54c34368-5887-40c6-82df-1ca16f457ee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4472</Words>
  <Characters>26838</Characters>
  <Application>Microsoft Office Word</Application>
  <DocSecurity>0</DocSecurity>
  <Lines>223</Lines>
  <Paragraphs>62</Paragraphs>
  <ScaleCrop>false</ScaleCrop>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M.Kłosiński (KG PSP)</dc:creator>
  <cp:keywords/>
  <dc:description/>
  <cp:lastModifiedBy>E.Adamus-Kot (KG PSP)</cp:lastModifiedBy>
  <cp:revision>3</cp:revision>
  <dcterms:created xsi:type="dcterms:W3CDTF">2024-02-26T08:29:00Z</dcterms:created>
  <dcterms:modified xsi:type="dcterms:W3CDTF">2024-02-26T10:44:00Z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0x010100DDBEAF97784E054ABE6BC0329CDEA1AB</vt:lpwstr>
  </property>
</Properties>
</file>