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4A" w:rsidRDefault="002B21F3">
      <w:pPr>
        <w:spacing w:after="12" w:line="518" w:lineRule="auto"/>
        <w:ind w:left="5864" w:right="0" w:firstLine="244"/>
        <w:jc w:val="left"/>
      </w:pPr>
      <w:r>
        <w:rPr>
          <w:rFonts w:ascii="Century Gothic" w:eastAsia="Century Gothic" w:hAnsi="Century Gothic" w:cs="Century Gothic"/>
          <w:b/>
          <w:sz w:val="20"/>
        </w:rPr>
        <w:t>KOMENDA STOŁECZNA POLICJI ul. Nowolipie 2, 00-150 Warszawa</w:t>
      </w:r>
    </w:p>
    <w:p w:rsidR="00C97A4A" w:rsidRDefault="002B21F3">
      <w:pPr>
        <w:spacing w:after="218"/>
        <w:ind w:left="-5" w:right="13"/>
      </w:pPr>
      <w:r>
        <w:t xml:space="preserve">Nr postępowania: </w:t>
      </w:r>
    </w:p>
    <w:p w:rsidR="00C97A4A" w:rsidRDefault="002B21F3">
      <w:pPr>
        <w:spacing w:after="383" w:line="285" w:lineRule="auto"/>
        <w:ind w:left="-5" w:right="0"/>
        <w:jc w:val="left"/>
      </w:pP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</w:rPr>
        <w:t>WZP-1064/22/59/Ł</w:t>
      </w:r>
    </w:p>
    <w:p w:rsidR="00C97A4A" w:rsidRDefault="002B21F3">
      <w:pPr>
        <w:pStyle w:val="Nagwek1"/>
        <w:ind w:right="11"/>
      </w:pPr>
      <w:r>
        <w:t>WNIOSEK O ZMIANĘ ZAPISÓW SWZ</w:t>
      </w:r>
    </w:p>
    <w:p w:rsidR="00C97A4A" w:rsidRDefault="002B21F3">
      <w:pPr>
        <w:ind w:left="-5" w:right="13"/>
      </w:pPr>
      <w:r>
        <w:t xml:space="preserve">           1) Wnioskujemy o zmianę niezgodnego z prawem określenia kryteriów oceny ofert. Zastosowanie w postępowaniu kryterium „Rodzaj materiałów eksploatacyjnych” stanowi naruszenie przepisów prawa, to jest:</w:t>
      </w:r>
    </w:p>
    <w:p w:rsidR="00C97A4A" w:rsidRDefault="002B21F3">
      <w:pPr>
        <w:ind w:left="-5" w:right="13"/>
      </w:pPr>
      <w:r>
        <w:t xml:space="preserve">- art. 16 pkt 1 </w:t>
      </w:r>
      <w:proofErr w:type="spellStart"/>
      <w:r>
        <w:t>pzp</w:t>
      </w:r>
      <w:proofErr w:type="spellEnd"/>
      <w:r>
        <w:t xml:space="preserve"> w zw. z art. 99 ust. 4-6 </w:t>
      </w:r>
      <w:proofErr w:type="spellStart"/>
      <w:r>
        <w:t>pzp</w:t>
      </w:r>
      <w:proofErr w:type="spellEnd"/>
      <w:r>
        <w:t xml:space="preserve"> w zw. z art. 239 ust. 2 </w:t>
      </w:r>
      <w:proofErr w:type="spellStart"/>
      <w:r>
        <w:t>pzp</w:t>
      </w:r>
      <w:proofErr w:type="spellEnd"/>
      <w:r>
        <w:t xml:space="preserve"> i art. 240 ust. 2 w zw. z art. 242 ust. 1 pkt 2 i ust. 2 </w:t>
      </w:r>
      <w:proofErr w:type="spellStart"/>
      <w:r>
        <w:t>pzp</w:t>
      </w:r>
      <w:proofErr w:type="spellEnd"/>
      <w:r>
        <w:t xml:space="preserve"> oraz art. 241 ust. 3 </w:t>
      </w:r>
      <w:proofErr w:type="spellStart"/>
      <w:r>
        <w:t>pzp</w:t>
      </w:r>
      <w:proofErr w:type="spellEnd"/>
      <w:r>
        <w:t xml:space="preserve"> poprzez: wprowadzenie do kryteriów oceny ofert kryterium o nazwie „Rodzaj materiałów eksploatacyjnych” o łącznej wadze 25 pkt, w którym ocena tego kryterium ustalana będzie poniższych zasad:</w:t>
      </w:r>
    </w:p>
    <w:p w:rsidR="00C97A4A" w:rsidRDefault="002B21F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97A4A" w:rsidRDefault="002B21F3">
      <w:pPr>
        <w:spacing w:after="1" w:line="251" w:lineRule="auto"/>
        <w:ind w:left="-5" w:right="0"/>
        <w:jc w:val="left"/>
      </w:pPr>
      <w:r>
        <w:t>”</w:t>
      </w:r>
      <w:r>
        <w:rPr>
          <w:rFonts w:ascii="Century Gothic" w:eastAsia="Century Gothic" w:hAnsi="Century Gothic" w:cs="Century Gothic"/>
          <w:sz w:val="20"/>
        </w:rPr>
        <w:t xml:space="preserve">a) oferta, w której Wykonawca zaoferuje cały asortyment oryginalny lub asortyment równoważny potwierdzony jakościowo przez producenta/przedstawiciela producenta urządzeń drukujących otrzyma </w:t>
      </w:r>
      <w:r>
        <w:rPr>
          <w:rFonts w:ascii="Century Gothic" w:eastAsia="Century Gothic" w:hAnsi="Century Gothic" w:cs="Century Gothic"/>
          <w:b/>
          <w:sz w:val="20"/>
        </w:rPr>
        <w:t>55 punktów</w:t>
      </w:r>
      <w:r>
        <w:rPr>
          <w:rFonts w:ascii="Century Gothic" w:eastAsia="Century Gothic" w:hAnsi="Century Gothic" w:cs="Century Gothic"/>
          <w:sz w:val="20"/>
        </w:rPr>
        <w:t>;</w:t>
      </w:r>
    </w:p>
    <w:p w:rsidR="00C97A4A" w:rsidRDefault="002B21F3">
      <w:pPr>
        <w:spacing w:after="435" w:line="251" w:lineRule="auto"/>
        <w:ind w:left="-5" w:right="0"/>
        <w:jc w:val="left"/>
      </w:pPr>
      <w:r>
        <w:rPr>
          <w:rFonts w:ascii="Century Gothic" w:eastAsia="Century Gothic" w:hAnsi="Century Gothic" w:cs="Century Gothic"/>
          <w:sz w:val="20"/>
        </w:rPr>
        <w:t xml:space="preserve">b) oferta, w której Wykonawca zaoferuje chociaż jeden asortyment równoważny, którego jakość nie została potwierdzona przez producenta/przedstawiciela producenta urządzeń drukujących otrzyma </w:t>
      </w:r>
      <w:r>
        <w:rPr>
          <w:rFonts w:ascii="Century Gothic" w:eastAsia="Century Gothic" w:hAnsi="Century Gothic" w:cs="Century Gothic"/>
          <w:b/>
          <w:sz w:val="20"/>
        </w:rPr>
        <w:t>0 punktów</w:t>
      </w:r>
      <w:r>
        <w:rPr>
          <w:rFonts w:ascii="Century Gothic" w:eastAsia="Century Gothic" w:hAnsi="Century Gothic" w:cs="Century Gothic"/>
          <w:sz w:val="20"/>
        </w:rPr>
        <w:t>;</w:t>
      </w:r>
      <w:r>
        <w:rPr>
          <w:i/>
          <w:sz w:val="24"/>
        </w:rPr>
        <w:t>”</w:t>
      </w:r>
    </w:p>
    <w:p w:rsidR="00C97A4A" w:rsidRDefault="002B21F3">
      <w:pPr>
        <w:ind w:left="-5" w:right="13"/>
      </w:pPr>
      <w:r>
        <w:t xml:space="preserve"> Takie określenie kryterium oceny ofert:</w:t>
      </w:r>
    </w:p>
    <w:p w:rsidR="00C97A4A" w:rsidRDefault="002B21F3">
      <w:pPr>
        <w:numPr>
          <w:ilvl w:val="0"/>
          <w:numId w:val="1"/>
        </w:numPr>
        <w:ind w:right="13"/>
      </w:pPr>
      <w:r>
        <w:t xml:space="preserve">zakłóca uczciwą konkurencję i równe traktowanie wykonawców, gdyż znacząco premiuje wykonawców oferujących produkty oryginalne, tym samym zmuszając do zaniechania oferowania produktów równoważnych spełniających wszystkie kryteria przewidziane w opisie przedmiotu zamówienia (art. 16 pkt 1 </w:t>
      </w:r>
      <w:proofErr w:type="spellStart"/>
      <w:r>
        <w:t>pzp</w:t>
      </w:r>
      <w:proofErr w:type="spellEnd"/>
      <w:r>
        <w:t>),</w:t>
      </w:r>
    </w:p>
    <w:p w:rsidR="00C97A4A" w:rsidRDefault="002B21F3" w:rsidP="0026501A">
      <w:pPr>
        <w:numPr>
          <w:ilvl w:val="0"/>
          <w:numId w:val="1"/>
        </w:numPr>
        <w:ind w:left="-15" w:right="0" w:firstLine="0"/>
        <w:jc w:val="left"/>
      </w:pPr>
      <w:r>
        <w:t xml:space="preserve">jedynie pozornie umożliwia oferowanie produktów równoważnych (art. 99 ust. 4-6 </w:t>
      </w:r>
      <w:r w:rsidRPr="002B21F3">
        <w:rPr>
          <w:i/>
        </w:rPr>
        <w:t xml:space="preserve">a contrario </w:t>
      </w:r>
      <w:proofErr w:type="spellStart"/>
      <w:r>
        <w:t>pzp</w:t>
      </w:r>
      <w:proofErr w:type="spellEnd"/>
      <w:r>
        <w:t xml:space="preserve">), - nie prowadzi do ustalenia najkorzystniejszej oferty w rozumieniu ustawy, tj. nie pozwala na ocenę tego, która oferta przedstawiająca najkorzystniejszy stosunek jakości do ceny lub kosztu (art. 239 ust. 2 </w:t>
      </w:r>
      <w:proofErr w:type="spellStart"/>
      <w:r>
        <w:t>pzp</w:t>
      </w:r>
      <w:proofErr w:type="spellEnd"/>
      <w:r>
        <w:t>),</w:t>
      </w:r>
    </w:p>
    <w:p w:rsidR="00C97A4A" w:rsidRDefault="002B21F3">
      <w:pPr>
        <w:numPr>
          <w:ilvl w:val="0"/>
          <w:numId w:val="2"/>
        </w:numPr>
        <w:ind w:right="13" w:hanging="117"/>
      </w:pPr>
      <w:r>
        <w:t xml:space="preserve">w ogóle nie odwołuje się do kryterium jakości, gdyż sam fakt, iż produkt jest „zalecany przez producenta sprzętu” („oryginalny”) obiektywnie nie ma wpływu na jego jakość w rozumieniu art. 242 ust. 2 </w:t>
      </w:r>
      <w:proofErr w:type="spellStart"/>
      <w:r>
        <w:t>pzp</w:t>
      </w:r>
      <w:proofErr w:type="spellEnd"/>
      <w:r>
        <w:t>,</w:t>
      </w:r>
    </w:p>
    <w:p w:rsidR="00C97A4A" w:rsidRDefault="002B21F3">
      <w:pPr>
        <w:numPr>
          <w:ilvl w:val="0"/>
          <w:numId w:val="2"/>
        </w:numPr>
        <w:ind w:right="13" w:hanging="117"/>
      </w:pPr>
      <w:r>
        <w:t xml:space="preserve">dotyczy właściwości wykonawcy (art. 241 ust. 3 </w:t>
      </w:r>
      <w:proofErr w:type="spellStart"/>
      <w:r>
        <w:t>pzp</w:t>
      </w:r>
      <w:proofErr w:type="spellEnd"/>
      <w:r>
        <w:t>).</w:t>
      </w:r>
    </w:p>
    <w:p w:rsidR="00C97A4A" w:rsidRDefault="002B21F3">
      <w:pPr>
        <w:ind w:left="-5" w:right="13"/>
      </w:pPr>
      <w:r>
        <w:t>Nadmienić należy, że „materiały zalecane przez producenta sprzętu” de facto sprowadzają się do zamkniętego katalogu produktów wytwarzanych przez samego producenta sprzętu.</w:t>
      </w:r>
    </w:p>
    <w:p w:rsidR="00C97A4A" w:rsidRDefault="002B21F3" w:rsidP="002A03F6">
      <w:pPr>
        <w:ind w:left="-5" w:right="13"/>
      </w:pPr>
      <w:r>
        <w:t xml:space="preserve">              Zwracamy uwagę, że kryteria oceny ofert, jakie Zamawiający ma prawo samodzielnie ustalić, z jednej strony muszą utrzymywać się w ramach określonych w przepisach </w:t>
      </w:r>
      <w:proofErr w:type="spellStart"/>
      <w:r>
        <w:t>Pzp</w:t>
      </w:r>
      <w:proofErr w:type="spellEnd"/>
      <w:r>
        <w:t xml:space="preserve"> (głównie art. 240-242 i 245 </w:t>
      </w:r>
      <w:proofErr w:type="spellStart"/>
      <w:r>
        <w:t>pzp</w:t>
      </w:r>
      <w:proofErr w:type="spellEnd"/>
      <w:r>
        <w:t xml:space="preserve">) i nie mogą prowadzić do wynaturzenia istoty postępowania o udzielenie zamówienia publicznego, czyli zgodności z zasadami obiektywizmu (równego traktowania wykonawców) i uczciwej konkurencji. Zatem każda cecha (kryterium), od którego uzależniona jest ocena ofert, musi się wiązać z obiektywnymi i mierzalnymi cechami produktu, które wyróżniają go na gruncie konkurencji lub po prostu odpowiadają oczekiwaniu Zamawiającego, przy czym oczekiwania te z pewnością nie mogą prowadzić do ograniczenia konkurencji Wykonawców tylko dlatego, że Zamawiający preferuje </w:t>
      </w:r>
      <w:r>
        <w:lastRenderedPageBreak/>
        <w:t>produkty „oryginalne” a nie równoważne. Zatem choć Zamawiający sam decyduje, jakie dostawy lub usługi są mu potrzebne (i w tym sensie cechy podane w opisie przedmiotu zamówienia mogą być subiektywne i swobodnie dobrane), to jednak owa swoboda decyzyjności ograniczona jest pewnymi ramami ustawowymi, zwłaszcza zaś zakazem bezpośredniego lub pośredniego eliminowania z postępowania ofert produktów równoważnych. Konsekwencją powyższego jest zatem i to, że na decyzję o wyborze oferty w tym konkretnym postępowaniu (z perspektywy zasady obiektywizmu i zakreślonych opisem przedmiotu zamówienia oczekiwań Zamawiającego) powinny wpływać obiektywne parametry jak: wydajność, wytrzymałość, jakość wydruku, kompatybilność z urządzeniem drukującym, niezawodność, wydajność. Na „jakość” może wpływać to, czy produkt jest fabrycznie nowy, czy regenerowany, czy spełnia określone normy i czy potwierdzono adekwatnymi dokumentami, że normy owe są spełnione. Wszystkie te cechy Zamawiający ujął w kryteriach, jakie powinien spełniać oferowany produkt (Rozdziale II Przedmiot i termin realizacji zamówienia), zatem niespełnianie tych cech samo w sobie prowadzić powinno do odrzucenia oferty podmiotu, który zaoferuje produkty niezgodne z opisem zamówienia</w:t>
      </w:r>
      <w:r w:rsidR="002A03F6">
        <w:t xml:space="preserve"> </w:t>
      </w:r>
      <w:r>
        <w:t>i</w:t>
      </w:r>
      <w:bookmarkStart w:id="0" w:name="_GoBack"/>
      <w:bookmarkEnd w:id="0"/>
      <w:r>
        <w:t xml:space="preserve"> niezgodne z oczekiwaniem Zamawiającego. Zamawiający dobrał zatem to kryterium z naruszeniem art. 239 ust. 2 </w:t>
      </w:r>
      <w:proofErr w:type="spellStart"/>
      <w:r>
        <w:t>pzp</w:t>
      </w:r>
      <w:proofErr w:type="spellEnd"/>
      <w:r>
        <w:t xml:space="preserve">, art. 240 ust. 2 i art. 242 ust. 1 pkt 2 i ust. 1 </w:t>
      </w:r>
      <w:proofErr w:type="spellStart"/>
      <w:r>
        <w:t>pzp</w:t>
      </w:r>
      <w:proofErr w:type="spellEnd"/>
      <w:r>
        <w:t>.</w:t>
      </w:r>
    </w:p>
    <w:p w:rsidR="00C97A4A" w:rsidRDefault="002B21F3">
      <w:pPr>
        <w:spacing w:after="421"/>
        <w:ind w:left="-5" w:right="13"/>
      </w:pPr>
      <w:r>
        <w:t xml:space="preserve">            Stanowisko w analogicznej sprawie podzieliła również Krajowa Izba Odwoławcza (na dowód czego przywołujemy wyrok z dnia 01.07.2021, sygn. KIO/1607/21 zał. nr 1), która w postępowaniu odwoławczym przychyliła się do zarzutów uwzględniając odwołanie i nakazując usunięcie postanowień dotyczących kryterium oceny ofert o nazwie „Rodzaj oferowanych produktów”.</w:t>
      </w:r>
    </w:p>
    <w:p w:rsidR="00C97A4A" w:rsidRDefault="002B21F3">
      <w:pPr>
        <w:ind w:left="-5" w:right="13"/>
      </w:pPr>
      <w:r>
        <w:t>W związku z powyższym wnioskujemy jak na wstępie.</w:t>
      </w:r>
    </w:p>
    <w:sectPr w:rsidR="00C97A4A">
      <w:pgSz w:w="11900" w:h="16840"/>
      <w:pgMar w:top="1463" w:right="1404" w:bottom="1609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3938"/>
    <w:multiLevelType w:val="hybridMultilevel"/>
    <w:tmpl w:val="D016583E"/>
    <w:lvl w:ilvl="0" w:tplc="A2CCD81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D2B6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6578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F80AA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0854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A02CC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0649D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4AE31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62B77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A91C39"/>
    <w:multiLevelType w:val="hybridMultilevel"/>
    <w:tmpl w:val="F4FC1E98"/>
    <w:lvl w:ilvl="0" w:tplc="329039B2">
      <w:start w:val="1"/>
      <w:numFmt w:val="bullet"/>
      <w:lvlText w:val="-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E4688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A060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FA9F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0C7B3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0A1A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6246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DC126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2008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4A"/>
    <w:rsid w:val="002A03F6"/>
    <w:rsid w:val="002B21F3"/>
    <w:rsid w:val="00C9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BFD7"/>
  <w15:docId w15:val="{142F44F7-C90B-4DE0-B36D-ED58CC7C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10" w:right="7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08"/>
      <w:ind w:right="7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Południak</dc:creator>
  <cp:keywords/>
  <cp:lastModifiedBy>Justyna Gruszczyńska</cp:lastModifiedBy>
  <cp:revision>3</cp:revision>
  <dcterms:created xsi:type="dcterms:W3CDTF">2022-05-09T13:53:00Z</dcterms:created>
  <dcterms:modified xsi:type="dcterms:W3CDTF">2022-05-09T14:00:00Z</dcterms:modified>
</cp:coreProperties>
</file>