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33E3" w14:textId="4148BEA6" w:rsidR="00515D7C" w:rsidRPr="00515D7C" w:rsidRDefault="00515D7C" w:rsidP="00515D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515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SWZ</w:t>
      </w:r>
    </w:p>
    <w:p w14:paraId="5A6387BA" w14:textId="661CCB3E" w:rsidR="00515D7C" w:rsidRPr="00515D7C" w:rsidRDefault="00515D7C" w:rsidP="00515D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515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nr 368/2023/PN/DZP</w:t>
      </w:r>
    </w:p>
    <w:p w14:paraId="07ACE030" w14:textId="77777777" w:rsidR="00515D7C" w:rsidRDefault="00515D7C" w:rsidP="00515D7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C0D45D0" w14:textId="77777777" w:rsidR="00515D7C" w:rsidRPr="00515D7C" w:rsidRDefault="00515D7C" w:rsidP="00515D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E7332C" w14:textId="0E213C26" w:rsidR="00515D7C" w:rsidRPr="00515D7C" w:rsidRDefault="00515D7C" w:rsidP="00515D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5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OPIS PRZEDMIOTU ZAMÓWIENIA/FORMULARZ CENOWY</w:t>
      </w:r>
    </w:p>
    <w:p w14:paraId="0280F61D" w14:textId="77777777" w:rsidR="00515D7C" w:rsidRPr="00515D7C" w:rsidRDefault="00515D7C" w:rsidP="00DF507B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74163C" w14:textId="77777777" w:rsidR="00DF507B" w:rsidRPr="00515D7C" w:rsidRDefault="00DF507B" w:rsidP="00515D7C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54822" w14:textId="77777777" w:rsidR="00DF507B" w:rsidRPr="00515D7C" w:rsidRDefault="00DF507B" w:rsidP="00DF507B">
      <w:pPr>
        <w:suppressAutoHyphens w:val="0"/>
        <w:spacing w:line="176" w:lineRule="atLeast"/>
        <w:jc w:val="both"/>
        <w:textAlignment w:val="top"/>
        <w:rPr>
          <w:rFonts w:ascii="Times New Roman" w:eastAsia="WenQuanYi Zen Hei Sharp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515D7C">
        <w:rPr>
          <w:rFonts w:ascii="Times New Roman" w:eastAsia="WenQuanYi Zen Hei Sharp" w:hAnsi="Times New Roman" w:cs="Times New Roman"/>
          <w:b/>
          <w:bCs/>
          <w:color w:val="00000A"/>
          <w:sz w:val="24"/>
          <w:szCs w:val="24"/>
          <w:lang w:eastAsia="zh-CN" w:bidi="hi-IN"/>
        </w:rPr>
        <w:t>Opis oferowanego sprzętu.</w:t>
      </w:r>
    </w:p>
    <w:p w14:paraId="610D267A" w14:textId="77777777" w:rsidR="00DF507B" w:rsidRPr="00515D7C" w:rsidRDefault="00DF507B" w:rsidP="00DF507B">
      <w:pPr>
        <w:suppressAutoHyphens w:val="0"/>
        <w:spacing w:line="176" w:lineRule="atLeast"/>
        <w:jc w:val="both"/>
        <w:textAlignment w:val="top"/>
        <w:rPr>
          <w:rFonts w:ascii="Times New Roman" w:eastAsia="WenQuanYi Zen Hei Sharp" w:hAnsi="Times New Roman" w:cs="Times New Roman"/>
          <w:color w:val="00000A"/>
          <w:sz w:val="24"/>
          <w:szCs w:val="24"/>
          <w:lang w:eastAsia="zh-CN" w:bidi="hi-IN"/>
        </w:rPr>
      </w:pPr>
    </w:p>
    <w:p w14:paraId="508A0656" w14:textId="6174D391" w:rsidR="00DF507B" w:rsidRPr="00515D7C" w:rsidRDefault="00DF507B" w:rsidP="00DF507B">
      <w:pPr>
        <w:spacing w:line="271" w:lineRule="auto"/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</w:pPr>
      <w:r w:rsidRPr="00515D7C">
        <w:rPr>
          <w:rFonts w:ascii="Times New Roman" w:eastAsia="Times New Roman" w:hAnsi="Times New Roman" w:cs="Times New Roman"/>
          <w:color w:val="00000A"/>
          <w:sz w:val="18"/>
          <w:szCs w:val="18"/>
          <w:lang w:eastAsia="pl-PL" w:bidi="hi-IN"/>
        </w:rPr>
        <w:t>Uwag</w:t>
      </w:r>
      <w:r w:rsidR="00515D7C">
        <w:rPr>
          <w:rFonts w:ascii="Times New Roman" w:eastAsia="Times New Roman" w:hAnsi="Times New Roman" w:cs="Times New Roman"/>
          <w:color w:val="00000A"/>
          <w:sz w:val="18"/>
          <w:szCs w:val="18"/>
          <w:lang w:eastAsia="pl-PL" w:bidi="hi-IN"/>
        </w:rPr>
        <w:t>i</w:t>
      </w:r>
      <w:r w:rsidRPr="00515D7C">
        <w:rPr>
          <w:rFonts w:ascii="Times New Roman" w:eastAsia="Times New Roman" w:hAnsi="Times New Roman" w:cs="Times New Roman"/>
          <w:color w:val="00000A"/>
          <w:sz w:val="18"/>
          <w:szCs w:val="18"/>
          <w:lang w:eastAsia="pl-PL" w:bidi="hi-IN"/>
        </w:rPr>
        <w:t xml:space="preserve"> dot. Tabeli:</w:t>
      </w:r>
    </w:p>
    <w:p w14:paraId="5A220049" w14:textId="77777777" w:rsidR="00DF507B" w:rsidRPr="00515D7C" w:rsidRDefault="00DF507B" w:rsidP="00DF507B">
      <w:pPr>
        <w:spacing w:line="271" w:lineRule="auto"/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</w:pPr>
      <w:r w:rsidRPr="00515D7C">
        <w:rPr>
          <w:rFonts w:ascii="Times New Roman" w:eastAsia="Times New Roman" w:hAnsi="Times New Roman" w:cs="Times New Roman"/>
          <w:color w:val="00000A"/>
          <w:sz w:val="18"/>
          <w:szCs w:val="18"/>
          <w:lang w:eastAsia="pl-PL" w:bidi="hi-IN"/>
        </w:rPr>
        <w:t>Wykonawca wpisuje odpowiednio:</w:t>
      </w:r>
    </w:p>
    <w:p w14:paraId="6571D1B3" w14:textId="77777777" w:rsidR="00DF507B" w:rsidRPr="00515D7C" w:rsidRDefault="00DF507B" w:rsidP="00DF507B">
      <w:pPr>
        <w:numPr>
          <w:ilvl w:val="0"/>
          <w:numId w:val="1"/>
        </w:numPr>
        <w:suppressAutoHyphens w:val="0"/>
        <w:spacing w:line="271" w:lineRule="auto"/>
        <w:jc w:val="both"/>
        <w:textAlignment w:val="top"/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</w:pPr>
      <w:r w:rsidRPr="00515D7C"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  <w:t>W tabeli zawarte są wybrane informacje istotne dla Zamawiającego (Wykonawca w swojej ofercie może uwzględnić inne, nie wymienione tutaj elementy,  niezbędne do realizacji wymagań Zamawiającego, które nie muszą być wykazane w tabeli).</w:t>
      </w:r>
    </w:p>
    <w:p w14:paraId="5A86B06B" w14:textId="77777777" w:rsidR="00DF507B" w:rsidRPr="00515D7C" w:rsidRDefault="00DF507B" w:rsidP="00DF507B">
      <w:pPr>
        <w:numPr>
          <w:ilvl w:val="0"/>
          <w:numId w:val="1"/>
        </w:numPr>
        <w:suppressAutoHyphens w:val="0"/>
        <w:spacing w:line="271" w:lineRule="auto"/>
        <w:jc w:val="both"/>
        <w:textAlignment w:val="top"/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</w:pPr>
      <w:r w:rsidRPr="00515D7C"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  <w:t>Gdy w polu „Nazwa parametru” występuje słowo  „Producent” lub „Model”, proszę w polu „Opis/Wartość” wpisać nazwę producenta oraz model oferowanego urządzenia.</w:t>
      </w:r>
    </w:p>
    <w:p w14:paraId="7C2AE464" w14:textId="77777777" w:rsidR="00DF507B" w:rsidRPr="00515D7C" w:rsidRDefault="00DF507B" w:rsidP="00DF507B">
      <w:pPr>
        <w:numPr>
          <w:ilvl w:val="0"/>
          <w:numId w:val="1"/>
        </w:numPr>
        <w:suppressAutoHyphens w:val="0"/>
        <w:spacing w:line="271" w:lineRule="auto"/>
        <w:jc w:val="both"/>
        <w:textAlignment w:val="top"/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</w:pPr>
      <w:r w:rsidRPr="00515D7C"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  <w:t>Jeżeli w polu „Nazwa parametru” występuje podpowiedź „[szt.]” proszę w polu „Opis/Wartość” wpisać odpowiednią wartość liczbową.</w:t>
      </w:r>
    </w:p>
    <w:p w14:paraId="1488C345" w14:textId="77777777" w:rsidR="00DF507B" w:rsidRPr="00515D7C" w:rsidRDefault="00DF507B" w:rsidP="00DF507B">
      <w:pPr>
        <w:numPr>
          <w:ilvl w:val="0"/>
          <w:numId w:val="1"/>
        </w:numPr>
        <w:suppressAutoHyphens w:val="0"/>
        <w:spacing w:line="271" w:lineRule="auto"/>
        <w:jc w:val="both"/>
        <w:textAlignment w:val="top"/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</w:pPr>
      <w:r w:rsidRPr="00515D7C"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  <w:t>Jeżeli w polu „Nazwa parametru” występuje podpowiedź „[Tak/Nie]”   proszę w polu „Opis/Wartość” wpisać słowo „Tak” lub „Nie” w odpowiedzi na zadane pytanie.</w:t>
      </w:r>
    </w:p>
    <w:p w14:paraId="5DB7FA1E" w14:textId="77777777" w:rsidR="00DF507B" w:rsidRPr="00515D7C" w:rsidRDefault="00DF507B" w:rsidP="00DF507B">
      <w:pPr>
        <w:numPr>
          <w:ilvl w:val="0"/>
          <w:numId w:val="1"/>
        </w:numPr>
        <w:suppressAutoHyphens w:val="0"/>
        <w:spacing w:line="271" w:lineRule="auto"/>
        <w:jc w:val="both"/>
        <w:textAlignment w:val="top"/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</w:pPr>
      <w:r w:rsidRPr="00515D7C"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  <w:t xml:space="preserve"> Jeżeli w polu „Nazwa parametru” występuje podpowiedź „[Gbps]”  proszę w polu „Opis/Wartość” wpisać liczbę Giga bitów na sekundę  (1Gbps = 10</w:t>
      </w:r>
      <w:r w:rsidRPr="00515D7C">
        <w:rPr>
          <w:rFonts w:ascii="Times New Roman" w:eastAsia="WenQuanYi Zen Hei Sharp" w:hAnsi="Times New Roman" w:cs="Times New Roman"/>
          <w:color w:val="00000A"/>
          <w:sz w:val="18"/>
          <w:szCs w:val="18"/>
          <w:vertAlign w:val="superscript"/>
          <w:lang w:eastAsia="zh-CN" w:bidi="hi-IN"/>
        </w:rPr>
        <w:t xml:space="preserve">9 </w:t>
      </w:r>
      <w:r w:rsidRPr="00515D7C"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  <w:t>bitów na sekundę)</w:t>
      </w:r>
    </w:p>
    <w:p w14:paraId="760338BF" w14:textId="77777777" w:rsidR="00DF507B" w:rsidRPr="00515D7C" w:rsidRDefault="00DF507B" w:rsidP="00DF507B">
      <w:pPr>
        <w:numPr>
          <w:ilvl w:val="0"/>
          <w:numId w:val="1"/>
        </w:numPr>
        <w:suppressAutoHyphens w:val="0"/>
        <w:spacing w:line="271" w:lineRule="auto"/>
        <w:jc w:val="both"/>
        <w:textAlignment w:val="top"/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</w:pPr>
      <w:r w:rsidRPr="00515D7C"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  <w:t>Jeżeli w polu „Nazwa parametru” występuje podpowiedź „[GB]” proszę w polu „Opis/Wartość” wpisać liczbę Gigabajtów (1GB = 2</w:t>
      </w:r>
      <w:r w:rsidRPr="00515D7C">
        <w:rPr>
          <w:rFonts w:ascii="Times New Roman" w:eastAsia="WenQuanYi Zen Hei Sharp" w:hAnsi="Times New Roman" w:cs="Times New Roman"/>
          <w:color w:val="00000A"/>
          <w:sz w:val="18"/>
          <w:szCs w:val="18"/>
          <w:vertAlign w:val="superscript"/>
          <w:lang w:eastAsia="zh-CN" w:bidi="hi-IN"/>
        </w:rPr>
        <w:t>30 </w:t>
      </w:r>
      <w:r w:rsidRPr="00515D7C"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  <w:t xml:space="preserve"> lub 1 073 741 824 bajtów)</w:t>
      </w:r>
    </w:p>
    <w:p w14:paraId="74A4EE25" w14:textId="77777777" w:rsidR="00DF507B" w:rsidRPr="00515D7C" w:rsidRDefault="00DF507B" w:rsidP="00DF507B">
      <w:pPr>
        <w:numPr>
          <w:ilvl w:val="0"/>
          <w:numId w:val="1"/>
        </w:numPr>
        <w:suppressAutoHyphens w:val="0"/>
        <w:spacing w:line="271" w:lineRule="auto"/>
        <w:jc w:val="both"/>
        <w:textAlignment w:val="top"/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</w:pPr>
      <w:r w:rsidRPr="00515D7C">
        <w:rPr>
          <w:rFonts w:ascii="Times New Roman" w:eastAsia="WenQuanYi Zen Hei Sharp" w:hAnsi="Times New Roman" w:cs="Times New Roman"/>
          <w:color w:val="00000A"/>
          <w:sz w:val="18"/>
          <w:szCs w:val="18"/>
          <w:lang w:eastAsia="zh-CN" w:bidi="hi-IN"/>
        </w:rPr>
        <w:t>Jeżeli w polu „Opis/Wartość” występuję „N/d” „(Nie dotyczy)” oznacza to początek zaznaczonej wcięciem grupy parametrów.</w:t>
      </w:r>
    </w:p>
    <w:p w14:paraId="7650FDE5" w14:textId="77777777" w:rsidR="00DF507B" w:rsidRPr="00DF507B" w:rsidRDefault="00DF507B" w:rsidP="00DF507B">
      <w:pPr>
        <w:spacing w:line="271" w:lineRule="auto"/>
        <w:ind w:left="720"/>
        <w:jc w:val="both"/>
        <w:textAlignment w:val="top"/>
        <w:rPr>
          <w:rFonts w:eastAsia="WenQuanYi Zen Hei Sharp" w:cs="Lohit Devanagari"/>
          <w:color w:val="00000A"/>
          <w:sz w:val="18"/>
          <w:szCs w:val="18"/>
          <w:lang w:eastAsia="zh-CN" w:bidi="hi-IN"/>
        </w:rPr>
      </w:pPr>
    </w:p>
    <w:tbl>
      <w:tblPr>
        <w:tblW w:w="14385" w:type="dxa"/>
        <w:tblInd w:w="-374" w:type="dxa"/>
        <w:tblBorders>
          <w:top w:val="single" w:sz="18" w:space="0" w:color="000001"/>
          <w:left w:val="single" w:sz="18" w:space="0" w:color="000001"/>
          <w:bottom w:val="single" w:sz="6" w:space="0" w:color="000001"/>
          <w:insideH w:val="single" w:sz="6" w:space="0" w:color="000001"/>
        </w:tblBorders>
        <w:tblCellMar>
          <w:left w:w="-22" w:type="dxa"/>
        </w:tblCellMar>
        <w:tblLook w:val="0000" w:firstRow="0" w:lastRow="0" w:firstColumn="0" w:lastColumn="0" w:noHBand="0" w:noVBand="0"/>
      </w:tblPr>
      <w:tblGrid>
        <w:gridCol w:w="345"/>
        <w:gridCol w:w="1555"/>
        <w:gridCol w:w="488"/>
        <w:gridCol w:w="421"/>
        <w:gridCol w:w="4151"/>
        <w:gridCol w:w="5514"/>
        <w:gridCol w:w="1911"/>
      </w:tblGrid>
      <w:tr w:rsidR="00515D7C" w:rsidRPr="00515D7C" w14:paraId="26C4D410" w14:textId="3535F0FC" w:rsidTr="001D3996">
        <w:tc>
          <w:tcPr>
            <w:tcW w:w="345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</w:tcBorders>
            <w:shd w:val="clear" w:color="auto" w:fill="BFBFBF"/>
            <w:tcMar>
              <w:left w:w="-22" w:type="dxa"/>
            </w:tcMar>
            <w:vAlign w:val="center"/>
          </w:tcPr>
          <w:p w14:paraId="1C292F28" w14:textId="77777777" w:rsidR="00515D7C" w:rsidRPr="00515D7C" w:rsidRDefault="00515D7C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b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b/>
                <w:color w:val="00000A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1555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tcMar>
              <w:left w:w="36" w:type="dxa"/>
            </w:tcMar>
          </w:tcPr>
          <w:p w14:paraId="7302D9D6" w14:textId="77777777" w:rsidR="00515D7C" w:rsidRPr="00515D7C" w:rsidRDefault="00515D7C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b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b/>
                <w:color w:val="00000A"/>
                <w:sz w:val="18"/>
                <w:szCs w:val="18"/>
                <w:lang w:eastAsia="zh-CN" w:bidi="hi-IN"/>
              </w:rPr>
              <w:t>Typ</w:t>
            </w:r>
          </w:p>
          <w:p w14:paraId="4F6BCB72" w14:textId="77777777" w:rsidR="00515D7C" w:rsidRPr="00515D7C" w:rsidRDefault="00515D7C" w:rsidP="001D55A7">
            <w:pPr>
              <w:suppressAutoHyphens w:val="0"/>
              <w:jc w:val="center"/>
              <w:rPr>
                <w:rFonts w:ascii="Times New Roman" w:eastAsia="WenQuanYi Zen Hei Sharp" w:hAnsi="Times New Roman" w:cs="Times New Roman"/>
                <w:b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b/>
                <w:color w:val="00000A"/>
                <w:sz w:val="18"/>
                <w:szCs w:val="18"/>
                <w:lang w:eastAsia="zh-CN" w:bidi="hi-IN"/>
              </w:rPr>
              <w:t>urządzenia</w:t>
            </w:r>
          </w:p>
        </w:tc>
        <w:tc>
          <w:tcPr>
            <w:tcW w:w="5060" w:type="dxa"/>
            <w:gridSpan w:val="3"/>
            <w:tcBorders>
              <w:top w:val="single" w:sz="18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tcMar>
              <w:left w:w="36" w:type="dxa"/>
            </w:tcMar>
            <w:vAlign w:val="center"/>
          </w:tcPr>
          <w:p w14:paraId="7568B30C" w14:textId="77777777" w:rsidR="00515D7C" w:rsidRPr="00515D7C" w:rsidRDefault="00515D7C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b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b/>
                <w:color w:val="00000A"/>
                <w:sz w:val="18"/>
                <w:szCs w:val="18"/>
                <w:lang w:eastAsia="zh-CN" w:bidi="hi-IN"/>
              </w:rPr>
              <w:t>Nazwa parametru</w:t>
            </w:r>
          </w:p>
        </w:tc>
        <w:tc>
          <w:tcPr>
            <w:tcW w:w="5514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36" w:type="dxa"/>
            </w:tcMar>
            <w:vAlign w:val="center"/>
          </w:tcPr>
          <w:p w14:paraId="4CA9BD02" w14:textId="77777777" w:rsidR="00515D7C" w:rsidRPr="00515D7C" w:rsidRDefault="00515D7C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b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b/>
                <w:color w:val="00000A"/>
                <w:sz w:val="18"/>
                <w:szCs w:val="18"/>
                <w:lang w:eastAsia="zh-CN" w:bidi="hi-IN"/>
              </w:rPr>
              <w:t>Opis/Wartość</w:t>
            </w:r>
          </w:p>
        </w:tc>
        <w:tc>
          <w:tcPr>
            <w:tcW w:w="1911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vAlign w:val="center"/>
          </w:tcPr>
          <w:p w14:paraId="716ABDCC" w14:textId="2544D094" w:rsidR="00515D7C" w:rsidRPr="00515D7C" w:rsidRDefault="00515D7C" w:rsidP="00515D7C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b/>
                <w:color w:val="00000A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b/>
                <w:color w:val="00000A"/>
                <w:sz w:val="18"/>
                <w:szCs w:val="18"/>
                <w:lang w:eastAsia="zh-CN" w:bidi="hi-IN"/>
              </w:rPr>
              <w:t xml:space="preserve">           Cena brutto</w:t>
            </w:r>
          </w:p>
        </w:tc>
      </w:tr>
      <w:tr w:rsidR="008321ED" w:rsidRPr="00515D7C" w14:paraId="78157111" w14:textId="27003B8A" w:rsidTr="001D3996">
        <w:trPr>
          <w:trHeight w:val="307"/>
        </w:trPr>
        <w:tc>
          <w:tcPr>
            <w:tcW w:w="345" w:type="dxa"/>
            <w:vMerge w:val="restart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8083796" w14:textId="59ECDA0C" w:rsidR="008321ED" w:rsidRPr="0069569D" w:rsidRDefault="008321ED" w:rsidP="001D55A7">
            <w:pPr>
              <w:suppressAutoHyphens w:val="0"/>
              <w:snapToGrid w:val="0"/>
              <w:jc w:val="both"/>
              <w:rPr>
                <w:rFonts w:ascii="Times New Roman" w:eastAsia="WenQuanYi Zen Hei Sharp" w:hAnsi="Times New Roman" w:cs="Times New Roman"/>
                <w:b/>
                <w:bCs/>
                <w:color w:val="00000A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b/>
                <w:bCs/>
                <w:color w:val="00000A"/>
                <w:sz w:val="18"/>
                <w:szCs w:val="18"/>
                <w:lang w:eastAsia="zh-CN" w:bidi="hi-IN"/>
              </w:rPr>
              <w:t xml:space="preserve">  </w:t>
            </w:r>
            <w:r w:rsidRPr="0069569D">
              <w:rPr>
                <w:rFonts w:ascii="Times New Roman" w:eastAsia="WenQuanYi Zen Hei Sharp" w:hAnsi="Times New Roman" w:cs="Times New Roman"/>
                <w:b/>
                <w:bCs/>
                <w:color w:val="00000A"/>
                <w:sz w:val="18"/>
                <w:szCs w:val="18"/>
                <w:lang w:eastAsia="zh-CN" w:bidi="hi-IN"/>
              </w:rPr>
              <w:t>1</w:t>
            </w:r>
            <w:r>
              <w:rPr>
                <w:rFonts w:ascii="Times New Roman" w:eastAsia="WenQuanYi Zen Hei Sharp" w:hAnsi="Times New Roman" w:cs="Times New Roman"/>
                <w:b/>
                <w:bCs/>
                <w:color w:val="00000A"/>
                <w:sz w:val="18"/>
                <w:szCs w:val="18"/>
                <w:lang w:eastAsia="zh-CN" w:bidi="hi-IN"/>
              </w:rPr>
              <w:t>.</w:t>
            </w:r>
          </w:p>
          <w:p w14:paraId="1E49642A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  <w:p w14:paraId="00945D9A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  <w:p w14:paraId="56D79537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  <w:p w14:paraId="278448A2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  <w:p w14:paraId="18E33224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  <w:p w14:paraId="5F0746E6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537CBC2" w14:textId="77777777" w:rsidR="008321ED" w:rsidRPr="00A164B8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b/>
                <w:bCs/>
                <w:color w:val="00000A"/>
                <w:szCs w:val="20"/>
                <w:lang w:eastAsia="zh-CN" w:bidi="hi-IN"/>
              </w:rPr>
            </w:pPr>
            <w:r w:rsidRPr="00A164B8">
              <w:rPr>
                <w:rFonts w:ascii="Times New Roman" w:eastAsia="WenQuanYi Zen Hei Sharp" w:hAnsi="Times New Roman" w:cs="Times New Roman"/>
                <w:b/>
                <w:bCs/>
                <w:color w:val="00000A"/>
                <w:szCs w:val="20"/>
                <w:lang w:eastAsia="zh-CN" w:bidi="hi-IN"/>
              </w:rPr>
              <w:t>Komponent Zabezpieczający</w:t>
            </w:r>
          </w:p>
          <w:p w14:paraId="3890A20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  <w:p w14:paraId="1FA4A423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(parametry techniczne dotyczą pojedynczego urządzenia)</w:t>
            </w: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A399208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Producent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DA4030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5C04853E" w14:textId="77777777" w:rsidR="008321ED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  <w:p w14:paraId="5AFB5538" w14:textId="77777777" w:rsidR="008321ED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  <w:p w14:paraId="770129BF" w14:textId="77777777" w:rsidR="008321ED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  <w:p w14:paraId="02AB6D84" w14:textId="77777777" w:rsidR="008321ED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  <w:p w14:paraId="4EF8DD7F" w14:textId="4FE6CA1C" w:rsidR="008321ED" w:rsidRPr="00A5296A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b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3CD6A8AF" w14:textId="3C562C1A" w:rsidTr="001D3996">
        <w:trPr>
          <w:trHeight w:val="290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99FA29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C2D802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89A3753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Model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F495F3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50E6A88D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285DDB1D" w14:textId="3BDD1186" w:rsidTr="001D3996">
        <w:trPr>
          <w:trHeight w:val="341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212040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831AB87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48E4738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Liczba dostarczanych urządzeń [szt.]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14ED56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AF61587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6469731B" w14:textId="3DA49956" w:rsidTr="001D3996">
        <w:trPr>
          <w:trHeight w:val="282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3ABA35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AA5A56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FC76318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Liczba Zasilaczy [szt.]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F31612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E9B420B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0E7BB9A5" w14:textId="55419CFA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C71AD6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015ECAE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425CC1F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9146CF3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zasilacze mają możliwość wymiany w trybie hot-swap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FA455C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512FFBC2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41C58F4C" w14:textId="38DA329E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B8D964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1CB097E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5380F9A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2BB3ED7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 awaria połowy zasilaczy zainstalowanych w urządzeniu ma jakikolwiek wpływ na działanie urządzenia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466AB47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5D4BBE1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0B1F5893" w14:textId="6D387077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3171B8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888818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7DE16AB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E189D46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Ilość faz 230V/50Hz wymaganych do zasilenia urządzenia  [szt.]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15669A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93F7B3F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3475525E" w14:textId="0367D6AA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C95C86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9352E4C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83DD327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System pozwala na import reguł zgodnych z rozwiązaniami SNORT i/lub Suricata do modułów systemu wykrywania i zapobiegania włamaniom komponentu zabezpieczającego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6DA6C30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41A2E2C4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694B7B20" w14:textId="20E25D16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3E5AD67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D3A064E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610DFE3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Interfejsy (jeżeli urządzenie posiada jeszcze inne niż wymienione poniżej to proszę je podać)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069E38E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N/d</w:t>
            </w: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719CD57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6FFCFE7F" w14:textId="23E74CDD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0FBF71D7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E7EF83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804DE73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DD6A968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Ilość interfejsów o przepustowości minimum 10 Gbps typu SFP+ zakończonych wkładkami światłowodowymi o zasięgu transmisji nie mniejszym niż 10 km  [szt.]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F2DED80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7B7C6DFB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62C4C949" w14:textId="6F94431F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7BC346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A339E1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9450BE2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8E5BF08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Ilość interfejsów o przepustowości minimum 10 Gbps typu RJ45  [szt.]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0DE7F4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5DFEFBA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28D81C28" w14:textId="1AFC88F7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26AEC3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AF47C4E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0518804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2DBC676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Ilość interfejsów o przepustowości minimum 100 Gbps  zakończonych wkładkami światłowodowymi o zasięgu transmisji nie mniejszym niż 10 km  [szt.]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45981DE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51F2FC3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4AC05E4E" w14:textId="78784957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05BD03C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F46833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F24CF57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Pojemność przestrzeni dyskowej  działającej w konfiguracji  RAID-1, przeznaczona na system operacyjny oraz dzienniki zdarzeń (logi)  [GB]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23307D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9A29853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35787B43" w14:textId="2DBA7C99" w:rsidTr="001D3996">
        <w:trPr>
          <w:trHeight w:val="311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0EEADB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F8AA44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4CD72D1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Parametry wydajnościowe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8BA7DC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N/d</w:t>
            </w: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64AC841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57DDCB17" w14:textId="5DF15B2D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A1D7AC0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7FB078C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45D39A3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778E966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hAnsi="Times New Roman" w:cs="Times New Roman"/>
                <w:sz w:val="18"/>
                <w:szCs w:val="18"/>
              </w:rPr>
              <w:t>Przepustowości (ang. throughput) dla ruchu rzeczywistego z włączoną kontrolą aplikacji, włączonym logowaniem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49EB6F7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0F43A6F7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1CE835FA" w14:textId="31690E80" w:rsidTr="001D3996">
        <w:trPr>
          <w:trHeight w:val="232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72C5156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DD23D40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5848269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78BDEE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hAnsi="Times New Roman" w:cs="Times New Roman"/>
                <w:sz w:val="18"/>
                <w:szCs w:val="18"/>
              </w:rPr>
              <w:t>Przepustowości (ang. throughput) dla ruchu rzeczywistego z włączoną pełną funkcjonalnością (Firewall, IPS, antywirus, anty-spyware, współpraca z sandboxem,  kontrola aplikacji, włączone logowanie),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BF2CE7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65E03E4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3747D3AD" w14:textId="7FC80EED" w:rsidTr="001D3996">
        <w:trPr>
          <w:trHeight w:val="232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36B83E0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EAEE9DD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74E93AF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C847697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Liczba nowych połączeń na sekundę [szt.]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0C66CC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8F196C7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6F032923" w14:textId="273233BA" w:rsidTr="001D3996">
        <w:trPr>
          <w:trHeight w:val="272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990755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5F1FD6C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F93CCE8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428D4B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Liczba równoległych sesji  [szt.]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D757B2D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4BF71B78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240BD55E" w14:textId="61E5AD93" w:rsidTr="001D3996">
        <w:trPr>
          <w:trHeight w:val="254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74E21F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B7A037B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2E45E1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8" w:type="dxa"/>
            </w:tcMar>
          </w:tcPr>
          <w:p w14:paraId="1DFACBD0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Przepustowość (ang. throughput) dla IPSEC VPN  [Gbps]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9699F2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4340B838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2F96AC47" w14:textId="24E811B0" w:rsidTr="001D3996">
        <w:trPr>
          <w:trHeight w:val="272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7505391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46BD4D6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7D0F97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8" w:type="dxa"/>
            </w:tcMar>
          </w:tcPr>
          <w:p w14:paraId="46FF67BB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Liczba tuneli tuneli IPSEC VPN (site-to-site)  [szt.]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F3B436E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75FB6281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184AA673" w14:textId="47FED956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25BE70D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ABBAD9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CFF922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ma możliwość pracy w trybie routera (tzn. w warstwie 3 modelu ISO OSI)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397F97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16E4966E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D3CAB0A" w14:textId="5A6BB9CC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02E03730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EB1E2C2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95520C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ma możliwość pracy w trybie przełącznika (tzn. w warstwie 2 modelu ISO OSI)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1D6EC87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71C3BE05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053DA2AF" w14:textId="7D5DA9C4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B7AA11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A82859C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C4C897E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Liczba znaczników VLAN zgodnych z 802.1q obsługiwanych przez interfejsy sieciowe pracujące w standardzie Ethernet  [szt.]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F4355C0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0D46D066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5A5F7DF7" w14:textId="70B586D5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2896D7D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DE2F26D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67B1697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umożliwia translację adresów IP (NAT) zarówno statyczną jak i dynamiczną.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B1E744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7F0298E7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92FFFE3" w14:textId="21B0DC1E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C705329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C330AFD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D393D2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Parametry związane z QOS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7EB4E8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  <w:t>N/d</w:t>
            </w: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18F92AAA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180F3BC1" w14:textId="29E68557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1786A7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398A67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2368077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8" w:type="dxa"/>
            </w:tcMar>
          </w:tcPr>
          <w:p w14:paraId="3FEB244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ma możliwość oznaczania pakietów znacznikami DiffServ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ADBA9D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0B961C52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67AB4BDB" w14:textId="18C934BB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B7419C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00CD542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75E1E2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8" w:type="dxa"/>
            </w:tcMar>
          </w:tcPr>
          <w:p w14:paraId="10B72AC4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ma możliwość ustawiania dla dowolnych aplikacji priorytetu, pasma maksymalnego i gwarantowanego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DF052F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79F8B396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F604873" w14:textId="550E7089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189FC0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5959E56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7E81944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8" w:type="dxa"/>
            </w:tcMar>
          </w:tcPr>
          <w:p w14:paraId="0E1E1F3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ma możliwość utworzenia co najmniej 8 klas ruchu sieciowego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4A169B0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600191A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A65F51E" w14:textId="6CCFD269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BC8308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9F99EB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84A3110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realizuje funkcję ochrony przed atakami typu DoS wraz z możliwością limitowania ilości jednoczesnych sesji w odniesieniu do źródłowego lub docelowego adresu IP.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1490C3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7BC7E96C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A8373A1" w14:textId="3F52C800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24794BA7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C5811A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9A9C7D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umożliwia obsługę protokołów routingu minimum OSPF w wersji 2 i 3, BGP, wraz z BFD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163BE2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5CF73E6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31C3495" w14:textId="629E3ED5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0FF7B29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C8A3EAB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E92DF5E" w14:textId="77777777" w:rsidR="008321ED" w:rsidRPr="00515D7C" w:rsidRDefault="008321ED" w:rsidP="00DF507B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obsługuje nie mniej niż 20 wirtualnych routerów posiadających odrębne tabele routingu.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38FEA4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BDD4A04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0EE73FFB" w14:textId="236D7716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C1A235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1CB0AD7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56B9719" w14:textId="77777777" w:rsidR="008321ED" w:rsidRPr="00515D7C" w:rsidRDefault="008321ED" w:rsidP="00DF507B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dostarczony komponent zabezpieczający będzie obsługiwał nie mniej niż 10 wirtualnych firewalli/systemów/domen/kontekstów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B906E61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97E55BE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0BA8EDC" w14:textId="3EAC3031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88E314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204B034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8E8A510" w14:textId="77777777" w:rsidR="008321ED" w:rsidRPr="00515D7C" w:rsidRDefault="008321ED" w:rsidP="00DF507B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posiada możliwość rozbudowy do co najmniej 20 wirtualnych firewalli/systemów/domen/kontekstów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0113F6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EC19D4B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D61B721" w14:textId="14BC29C1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007877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BE45EF4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31BB37A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8C0F41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  <w:t>N/d</w:t>
            </w: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119A8CFC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1E44337E" w14:textId="711F580A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28BB5F7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74ABA24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8D3C35B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8" w:type="dxa"/>
            </w:tcMar>
          </w:tcPr>
          <w:p w14:paraId="7EFA507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tablic routingu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3ED362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5A81762F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4884D60" w14:textId="339FE156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97825C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14DA47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AAC833D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8" w:type="dxa"/>
            </w:tcMar>
          </w:tcPr>
          <w:p w14:paraId="3733929A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polityk bezpieczeństwa obejmujących system IPS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08BF6CF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1794682D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6C96BFE4" w14:textId="336D4836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C0D1E1D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E4907E4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2C08900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8" w:type="dxa"/>
            </w:tcMar>
          </w:tcPr>
          <w:p w14:paraId="7F54904D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polityk bezpieczeństwa obejmujących system ochrony antymalware/antyspyware 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A30C8DD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02780C7F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442EEBCD" w14:textId="5284258C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E4C867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8CF47CB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301F204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8" w:type="dxa"/>
            </w:tcMar>
          </w:tcPr>
          <w:p w14:paraId="4CAE50EE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polityk bezpieczeństwa obejmujących system ochrony antywirus 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6638D41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2A15BA8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04E405D8" w14:textId="734606CF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718F49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36CD60B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15C47E0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8" w:type="dxa"/>
            </w:tcMar>
          </w:tcPr>
          <w:p w14:paraId="3C3E3B2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polityk bezpieczeństwa obejmujących tunele VPN IPSec 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A70651E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08017AD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42502DD8" w14:textId="2D193804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AC0F00F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6C638F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D83C9B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wspiera mechanizm PBR (policy based routing)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3DF8DCF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B86C812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40339C09" w14:textId="3CB6337B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8FB83A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3F72CEA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C82AECD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polityka bezpieczeństwa komponentu zabezpieczającego prowadzi kontrolę ruchu sieciowego i uwzględnia strefy bezpieczeństwa, adresy IP klientów i serwerów, protokoły i usługi sieciowe, aplikacje, kategorie URL reakcje zabezpieczeń, rejestrowanie zdarzeń oraz zarządzanie pasmem QoS.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C78C53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4E1C077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184088F8" w14:textId="53A15358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6F5EE3F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3C1ACB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80BF3C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Ilość możliwych do zdefiniowania reguł polityki bezpieczeństwa  [szt.]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D93C02F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F07470F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4E5CFD89" w14:textId="053E0077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7ED346E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A54816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6F4688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Ilość możliwych do zdefiniowania stref bezpieczeństwa  [szt.]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95B4B1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6A48C01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3ED05D86" w14:textId="619BD3BC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077497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B4AF64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5D718F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umożliwia rozpoznawanie aplikacji bez względu na numery portów, na których działa aplikacja (ang. application/services).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7E6DD9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216B72D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687D67B7" w14:textId="2C7E180F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AA0ABD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0ECCF2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7D44E5A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wykrywa predefiniowane aplikacje wspierane przez producenta (np. Skype, Tor, BitTorrent, eMule) wraz z aplikacjami tunelującymi się w HTTP lub HTTPS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6CED991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7C6DC1B3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5154E75" w14:textId="19ACF075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2E00C1B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E14EC2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3B3E650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pozwala na ręczne tworzenie sygnatur dla nowych aplikacji bezpośrednio na urządzeniu lub z wykorzystaniem komponentu zarządczego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7975E9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1A9178DF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18CE65B4" w14:textId="59D6B79C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D6F926E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C515B1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81FF54A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posiada i będzie  dostarczony z funkcjonalnością systemu wykrywania i zapobiegania włamaniom (Intrusion Prevention System – IPS) oraz czy  baza sygnatur systemu IPS jest przechowywana na urządzeniu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D120EC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1D4EC925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638A2F3D" w14:textId="72875260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12069B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3840AE4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BA280E7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posiada i będzie  dostarczony z funkcjonalnością systemu Antywirus (AV) oraz czy  baza sygnatur systemu AV jest przechowywana na urządzeniu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43800F9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4C702715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315FED02" w14:textId="0598345D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7432EBF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7652B54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F3C1C77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zapewnia ochronę przed atakami  typu Spyware oraz czy  baza sygnatur systemu Spyware jest przechowywana na urządzeniu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01CF140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B1D7E32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1617DA2" w14:textId="757F16A8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814278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83CB8DC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C8CBBD1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zapewnia możliwość wysłania plików do sandboxa producenta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E0E3059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7952AB6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01F11DF" w14:textId="20944F60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41D6547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6C31BD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60F4EFB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zarządzanie komponentem zabezpieczającym (w tym zarządzanie regułami/politykami bezpieczeństwa ) odbywa się z linii poleceń (CLI) i graficznej konsoli Web GUI dostępnej przez przeglądarkę WWW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455F183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74B5E5BF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3601506C" w14:textId="013BC25B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2FD6569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E285F56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DDE3930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pozwala na zdefiniowanie wielu administratorów o różnych uprawnieniach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144C33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C9BDB2C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F162F17" w14:textId="32341714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B77115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1E1ACE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9B2A921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umożliwia uwierzytelnianie administratorów za pomocą co najmniej dwóch z następujących metod: baza lokalna, LDAP, RADIUS lub TACACS+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60F2BF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13663575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58DA42E8" w14:textId="531D7F27" w:rsidTr="001D3996">
        <w:trPr>
          <w:cantSplit/>
          <w:trHeight w:val="524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1198470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AFA7290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509C8CB" w14:textId="77777777" w:rsidR="008321ED" w:rsidRPr="00515D7C" w:rsidRDefault="008321ED" w:rsidP="00DF507B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praca na urządzeniu będącym komponentem zabezpieczającym odbywa się na konfiguracji tymczasowej, a nie aktywnej oraz czy istnieje możliwość przejrzenia zmian przed ich zatwierdzaniem na urządzeniu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368DC5A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DA3D71B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5465785E" w14:textId="017FFBC8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845B2C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4E900E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9D4214A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Ilość poprzednich wersji konfiguracji możliwych do zapisania w przestrzeni dyskowej urządzenia będącego komponentem zabezpieczającym  [szt.]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A0DF46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5EADA62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FA95D0F" w14:textId="3DC8BA51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3C7986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B2E4A4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9E3B19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istnieje możliwość przywrócenia konfiguracji komponentu zabezpieczającego z dowolnej, zapisanej uprzednio na dysku konfiguracji 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F2027F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58A09D2A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66F0DF53" w14:textId="24BA2D6D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0F63E2BE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5FE41C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62E565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zapewnia interfejs API (JSON, REST, XML lub inny) będący integralną częścią urządzenia, za pomocą którego możliwa jest konfiguracja i monitorowanie stanu urządzenia bez użycia konsoli zarządzania lub linii poleceń (CLI)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AB2584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156D67EC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42148DA9" w14:textId="21387A7D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1B45CF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F5EC266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154A104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umożliwia eksportowanie logów do zewnętrznych serwerów SYSLOG z wyłączeniem serwerów pośredniczących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6B1E7C1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0EBFD844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4229DDF7" w14:textId="70D86DC9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298B6F3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536CDF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287C0DE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Przepustowość dla inspekcji ruchu SSL/TLS (ang. SSL Inspection Throughput) osiągana przez komponent zabezpieczający lub element dodatkowy  [Gbps]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CFEB31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9F8A3FE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6B60FF73" w14:textId="12B81760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B351E5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FD94EF0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EB61F88" w14:textId="77777777" w:rsidR="008321ED" w:rsidRPr="00515D7C" w:rsidRDefault="008321ED" w:rsidP="00DF507B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funkcjonalność inspekcji SSL/TLS jest dostępna w każdej z 20 potencjalnie możliwych do skonfigurowania wirtualnych instancji  komponentu zarządzającego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BE4962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B657805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67889F86" w14:textId="3EBA2FDC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0334E23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ED6AF72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D1577FE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Wymagania odnośnie elementu dodatkowego dostarczanego w celu spełnienia wymaganych funkcjonalności komponentu zabezpieczającego (z wyjątkiem funkcji wykrywania aplikacji, obsługi IPS, AV i NAT)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BA9120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  <w:t>N/d</w:t>
            </w:r>
          </w:p>
          <w:p w14:paraId="10249C30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  <w:t>(Jeżeli żaden element dodatkowy nie jest wymagany proszę wpisać poniżej „N/d”)</w:t>
            </w: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07CACED0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404D6CF5" w14:textId="0A6CA468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7F5CB97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343BF4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90DF7B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7E4D0B1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 xml:space="preserve">Czy wspomniany powyżej element dodatkowy jest serwisowany w całości przez jednego producenta), oraz czy posiada pełną redundnacją sprzętową i spełnienia wymagania dotyczące zasilania urządzenia analogicznie jak dla urządzeń Next Generation Firewall (NGFW)  </w:t>
            </w:r>
            <w:bookmarkStart w:id="0" w:name="__DdeLink__2389_1853334222"/>
            <w:bookmarkEnd w:id="0"/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026EC8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04EBEF05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44C900C" w14:textId="6A3D3FFF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7559D26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1E9029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3147661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30E2AD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element dodatkowy spełnia wymagania zdefiniowane dla całego Systemu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18DB459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4ACD07C8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5FB8CF6A" w14:textId="36B05DF2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83F14C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70C9F82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A50252D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FAF1F3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highlight w:val="yellow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 xml:space="preserve">Czy urządzenia realizujące funkcję inspekcji SSL/TLS, są połączone z urządzeniami Next Generation Firewall (NGFW) za pomocą co najmniej 8 interfejsów 10 Gbps i wkładkami o przepustowości 10 Gbps (transmisja na odległość min. 10km)  [Tak/Nie] 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C4D6217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710E209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073FF42D" w14:textId="4DBC33EF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FFA052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5A4755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1378CE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B269B5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element dodatkowy ma możliwość wysyłania zdarzeń do zewnętrznych serwerów SYSLOG.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32255B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4821284C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3A2EF57F" w14:textId="3B13C899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B8724F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AA1B73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8FE047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 xml:space="preserve">Wymagania na realizację funkcjonalności zdalnych sesji VPN (ang. remote access VPN) dla użytkowników 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3FDC9AF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  <w:t>N/d</w:t>
            </w: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01035906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398EC29F" w14:textId="787ADA92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68CE87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6BE390D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A9F872E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511D94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obsługuje funkcjonalność zdalnych sesji VPN umożliwiającą realizację zdalnych sesji VPN przez użytkowników z wykorzystaniem aplikacji klienckich instalowanych na stacjach roboczych (ang. desktop clients)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8C99CBD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1C20175E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182FFA4" w14:textId="162D27A0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4CD1DF0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C02414D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D8FFAE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798E77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 xml:space="preserve">Czy komponent zabezpieczający zapewnia realizację co najmniej 3000 jednoczesnych zdalnych sesji VPN.  [Tak/Nie] 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FF412D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5D55DA9F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20620AF" w14:textId="41B0FA20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996325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216CFF6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034D05B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52A118B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umożliwia zestawianie tuneli SSL VPN z wykorzystaniem klienta VPN dostarczonego przez producenta urządzenia NGFW dla co najmniej 3000  użytkowników.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9EFDD3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D787AD6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44D4988A" w14:textId="520D3C15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02098A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D8D895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9DB022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1EDB44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wykorzystanie funkcjonalności zdalnych sesji VPN zgodnie z wymaganiami Zamawiającego wymaga zakupu dodatkowych licencji? Jeżeli tak  to czy są już uwzględnione w ofercie Wykonawcy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72A178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0C6D163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13A995B0" w14:textId="465BA20C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2AECCD7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992EDD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4BB90B2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AAAE7F6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umożliwia obsługę zdalnych sesji VPN z wykorzystaniem protokołu IPSec (ang. Internet Protocol Security) oraz protokołu SSL (ang. Secure Sockets Layer) co najmniej dla dostępu z wykorzystaniem aplikacji klienckich instalowanych na stacjach roboczych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991A66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44649374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6DEAA72" w14:textId="6179B4F6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BE0335D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31F59FE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4CC2BA2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7B2AED6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umożliwia tunelowanie całego ruchu pochodzącego od stacji klienckiej z wykorzystaniem połączenia VPN oraz tunelowanie jedynie ruchu kierowanego do wybranych adresów IP tzw. dzielone tunelowanie VPN (ang. split-tunneling)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CE9F81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152029D2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34435D61" w14:textId="0DF118B6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73DC46F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7A5BB40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C0D79CA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C0617D2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zapewnia konfigurowanie polityk dostępu umożliwiających dostęp do określonych zasobów wskazywanych w postaci adresów IP i portów UDP/TCP dla zdalnych sesji VPN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0CC9A2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754DB32A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F29AA92" w14:textId="40DF432D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762327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D3621F2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0C1154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A5A593A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zapewnia konfigurowanie polityk połączenia określających co najmniej statyczne pule adresów IP, z których przyznawane są użytkownikom adresy podczas nawiązywania połączenia oraz możliwość wskazywania adresu serwera DNS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71DD96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5020E4FF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DF4FE69" w14:textId="18FDE7B3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C81635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ACC618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DC5A9E4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3137EB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umożliwia zakończenie (przerwanie) przez administratora aktywnych zdalnych sesji VPN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DF1527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5FAE886E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4749587" w14:textId="45B4CBF6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AD0ECE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C1DC710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D6AACE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0779F3D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umożliwia uzyskanie przez administratora informacji o liczbie aktualnie zalogowanych użytkowników (aktywnych zdalnych sesji VPN)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824BD0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44017AB4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2471559" w14:textId="07CD192C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279929A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9E065DB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0B0492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5F2C7F7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aplikacje klienckie umożliwiają realizację połączeń VPN z urządzeń pracujących pod kontrolą co najmniej następujących systemów operacyjnych: Windows 10/11, macOS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DEE192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24B4EED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38024098" w14:textId="7E1FBECC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2C0AFC0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C738CC2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7EBBDC0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9DB4F5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umożliwia uwierzytelnianie użytkowników zdalnych sesji VPN z wykorzystaniem kont lokalnych oraz z wykorzystaniem co najmniej protokołu LDAP poprzez odwołanie się do zewnętrznego serwera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D7F4EE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2E79D1C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1C5A9D59" w14:textId="2A82FE89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974D0C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17B0A30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8429262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CF65CE4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przy uwierzytelnianiu użytkowników zdalnych sesji VPN z wykorzystaniem protokołu LDAP istnieje możliwość przypisania dla użytkownika dostępu do określonych zasobów (polityk dostępu) w oparciu o przynależność do grup LDAP do których użytkownik jest przypisany na serwerze LDAP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25685E0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7E6B8C8E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30C9D9FB" w14:textId="7EFC2C07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B5310EF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CBD841B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D81CD2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7A77C92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zabezpieczający zapewniać logowanie danych dotyczących połączeń zdalnych sesji VPN w zakresie co najmniej: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F62EA79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  <w:t>N/d</w:t>
            </w: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B31FFE8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1A8F11F9" w14:textId="38332865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ABC4A99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486B64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F0CCFAA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2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98773DE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14:paraId="7C74CD9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nazwy lub identyfikatora użytkownika nawiązującego połączenie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7FFC757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1DA17E9D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4D605359" w14:textId="5783114B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7DB14E3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612FFE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1F126D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2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B6C476C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14:paraId="13FCC5FD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adresu IP, z którego nawiązywane jest przez użytkownika połączenie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34446E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5A3B564B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1F2400A7" w14:textId="316A523D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036A51D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0D2EDD7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6FB1C2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2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A75110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14:paraId="781C726B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daty i godziny nawiązania i zakończenia połączenia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65E6A61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56E1C394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1B30780E" w14:textId="2E18E14E" w:rsidTr="001D3996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339D26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C4A4537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84E097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2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4CF4806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14:paraId="6F0ABD7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informacji o zakończonych niepowodzeniem próbach nawiązania sesji przez użytkownika (np. nieprawidłowa autoryzacja)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A1322F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0B882D54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F9D42ED" w14:textId="023FA7A4" w:rsidTr="00645FDA"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2D7A784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E64B7F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8F29B2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2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E3817BD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14:paraId="28F39A4F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przyznanego na czas trwania sesji adresu IP (w przypadku połączenia z wykorzystaniem aplikacji klienta)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4738AB7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5F0EF3ED" w14:textId="77777777" w:rsidR="008321ED" w:rsidRPr="00515D7C" w:rsidRDefault="008321ED" w:rsidP="001D55A7">
            <w:pPr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3865A6CF" w14:textId="5BB0B187" w:rsidTr="00645FDA">
        <w:trPr>
          <w:trHeight w:val="313"/>
        </w:trPr>
        <w:tc>
          <w:tcPr>
            <w:tcW w:w="345" w:type="dxa"/>
            <w:vMerge w:val="restart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F1D83FE" w14:textId="030A4914" w:rsidR="008321ED" w:rsidRPr="00A164B8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b/>
                <w:bCs/>
                <w:color w:val="00000A"/>
                <w:szCs w:val="20"/>
                <w:lang w:eastAsia="zh-CN" w:bidi="hi-IN"/>
              </w:rPr>
            </w:pPr>
            <w:r w:rsidRPr="00A164B8">
              <w:rPr>
                <w:rFonts w:ascii="Times New Roman" w:eastAsia="WenQuanYi Zen Hei Sharp" w:hAnsi="Times New Roman" w:cs="Times New Roman"/>
                <w:b/>
                <w:bCs/>
                <w:color w:val="00000A"/>
                <w:szCs w:val="20"/>
                <w:lang w:eastAsia="zh-CN" w:bidi="hi-IN"/>
              </w:rPr>
              <w:t>2</w:t>
            </w:r>
            <w:r>
              <w:rPr>
                <w:rFonts w:ascii="Times New Roman" w:eastAsia="WenQuanYi Zen Hei Sharp" w:hAnsi="Times New Roman" w:cs="Times New Roman"/>
                <w:b/>
                <w:bCs/>
                <w:color w:val="00000A"/>
                <w:szCs w:val="20"/>
                <w:lang w:eastAsia="zh-CN" w:bidi="hi-IN"/>
              </w:rPr>
              <w:t>.</w:t>
            </w:r>
          </w:p>
        </w:tc>
        <w:tc>
          <w:tcPr>
            <w:tcW w:w="15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A5D97E4" w14:textId="77777777" w:rsidR="008321ED" w:rsidRPr="00A164B8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b/>
                <w:bCs/>
                <w:color w:val="00000A"/>
                <w:szCs w:val="20"/>
                <w:lang w:eastAsia="zh-CN" w:bidi="hi-IN"/>
              </w:rPr>
            </w:pPr>
            <w:r w:rsidRPr="00A164B8">
              <w:rPr>
                <w:rFonts w:ascii="Times New Roman" w:eastAsia="WenQuanYi Zen Hei Sharp" w:hAnsi="Times New Roman" w:cs="Times New Roman"/>
                <w:b/>
                <w:bCs/>
                <w:color w:val="00000A"/>
                <w:szCs w:val="20"/>
                <w:lang w:eastAsia="zh-CN" w:bidi="hi-IN"/>
              </w:rPr>
              <w:t>Komponent Zarządczy</w:t>
            </w: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398DFE5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zarządczy pochodzi od tego samego producenta, co urządzenia NGFW wchodzące w skład komponentu zabezpieczającego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AD21469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4975E23" w14:textId="7EF6938D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5C2F5233" w14:textId="5E03333D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2EBD228D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8E33C69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0916309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zarządczy umożliwia centralne zarządzanie urządzeniami wchodzącymi w skład komponentu zabezpieczającego (w tym zarządzanie regułami/politykami bezpieczeństwa) przy pomocy graficznej konsoli WebGUI dostępnej przez przeglądarkę WWW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491106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BD192C9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7F57001" w14:textId="71F90AE0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E71685D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FBD789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2C863FE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zarządczy umożliwia zarządzanie wszystkimi urządzeniami NGFW wchodzącymi w skład komponentu zabezpieczającego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CB0DC0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7A2315C1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BD3182E" w14:textId="2F0679FC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0DD6953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C27BB1E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B426111" w14:textId="77777777" w:rsidR="008321ED" w:rsidRPr="00515D7C" w:rsidRDefault="008321ED" w:rsidP="00DF507B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komponent zarządczy będzie umożliwiał zarządzanie łącznie co najmniej 10 fizycznymi urządzeniami NGFW i co najmniej 40 firewallami wirtualnymi rozumianymi jako wirtualny firewalli/system/domena/kontekst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C9283B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6828F8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529A9673" w14:textId="79C9768C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C5398B7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E1695FF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38538AC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Jeżeli Wykonawca zastąpi WebGUI innym rozwiązaniem to czy zapewnia ono: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8DBDA9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N/d</w:t>
            </w:r>
          </w:p>
          <w:p w14:paraId="355D2D2B" w14:textId="77777777" w:rsidR="008321ED" w:rsidRPr="00515D7C" w:rsidRDefault="008321ED" w:rsidP="001D55A7">
            <w:pPr>
              <w:suppressAutoHyphens w:val="0"/>
              <w:snapToGrid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(Jeżeli Wykonawca nie zastępuje WebGUI to proszę wpisać poniżej „N/d”)</w:t>
            </w: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40D5DBC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8321ED" w:rsidRPr="00515D7C" w14:paraId="73B29AE2" w14:textId="675C87E7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0F8A8CB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14571F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70320BFC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14:paraId="4B02BB08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 xml:space="preserve">działanie w trybie wysokiej dostępności HA (w celu wykluczenia pojedynczego punktu awarii)  [Tak/Nie] 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2CDFEBE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3D68E5E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1D19A15F" w14:textId="3920AA1B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25ECC47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739E68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34D354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14:paraId="540126FA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wszystkie nieodwoływalne i niezbędne do działania licencje i komponenty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B412447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52A8E3F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0521D1B5" w14:textId="3C9FE8D2" w:rsidTr="001D3996">
        <w:trPr>
          <w:trHeight w:val="280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7B506A5D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70D5C1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6936E6C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14:paraId="50FFED51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dostęp dla co najmniej 10 osób jednocześnie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5400C3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5DB3834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517519B1" w14:textId="4ABFFD1B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7D76CEE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1ECCFC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4EB1CEC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" w:type="dxa"/>
            </w:tcMar>
          </w:tcPr>
          <w:p w14:paraId="4AC13C3C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gwarancję i wsparcie na  cały okres gwarancyjny komponentu zabezpieczającego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230B3F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425DC522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0EE214D7" w14:textId="22607867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4678B06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34D11F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EB7E237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 komponent zarządczy umożliwia zdefiniowanie co najmniej 10 lokalnych kont administracyjnych z możliwością określenia praw dostępu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F6E208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9F7D31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60712212" w14:textId="636A2B17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246280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879E5DD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77422E7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 komponent zarządczy umożliwia zarządzanie obiektami używanymi przez wszystkie komponenty zabezpieczające w jednym, centralnym repozytorium 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D6BED07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7B03F65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2E1DEEE" w14:textId="620EFB91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F35088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095ADF0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93EAA53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 komponent zarządczy umożliwia dystrybucję i zdalną instalację nowych sygnatur oraz wersji oprogramowania systemowego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4191FB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73D5C2E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214AFCAD" w14:textId="6AA371A8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E32468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9C94CE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A978D1C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 komponent zarządczy jest w stanie zarządzać wersjami baz sygnatur na urządzeniach oraz zdalnymi uaktualnieniami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30D538C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1B4C348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7479D380" w14:textId="55886B4C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4CC320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38A7B3FF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14B110BC" w14:textId="77777777" w:rsidR="008321ED" w:rsidRPr="00515D7C" w:rsidRDefault="008321ED" w:rsidP="00DF507B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 graficzny interfejs (WebGUI) komponentu zarządczego jest dostępny za pomocą protokołu HTTPS przez przeglądarkę WWW w HTML5, bez wykorzystania technologii java czy flash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7DBC0A1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6D89224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1E84D1E4" w14:textId="40F56F5D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00B3CEBD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D0ED83E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0D8A831E" w14:textId="77777777" w:rsidR="008321ED" w:rsidRPr="00515D7C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515D7C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 komponent zarządczy pozwala na obsługę co najmniej 50 logów na sekundę w przypadku logów użytkowników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5D4C48B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22BE0DA4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163B13B7" w14:textId="701E11A9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874DB4D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660DF56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408C12BC" w14:textId="77777777" w:rsidR="008321ED" w:rsidRPr="001D3996" w:rsidRDefault="008321ED" w:rsidP="00DF507B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1D3996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 komponent zarządczy pozwala na przyrost dzienny logów użytkowników  na poziomie nie mniejszym niż 1,5 GB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8B7977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4C986C5E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8321ED" w:rsidRPr="00515D7C" w14:paraId="3B89EE95" w14:textId="0E822240" w:rsidTr="001D3996">
        <w:trPr>
          <w:trHeight w:val="313"/>
        </w:trPr>
        <w:tc>
          <w:tcPr>
            <w:tcW w:w="345" w:type="dxa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737018A3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2E6E1828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5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14:paraId="50A18295" w14:textId="77777777" w:rsidR="008321ED" w:rsidRPr="001D3996" w:rsidRDefault="008321ED" w:rsidP="001D55A7">
            <w:pPr>
              <w:suppressAutoHyphens w:val="0"/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</w:pPr>
            <w:r w:rsidRPr="001D3996">
              <w:rPr>
                <w:rFonts w:ascii="Times New Roman" w:eastAsia="WenQuanYi Zen Hei Sharp" w:hAnsi="Times New Roman" w:cs="Times New Roman"/>
                <w:color w:val="00000A"/>
                <w:sz w:val="18"/>
                <w:szCs w:val="18"/>
                <w:lang w:eastAsia="zh-CN" w:bidi="hi-IN"/>
              </w:rPr>
              <w:t>Czy  komponent zarządczy umożliwia  retencję danych nie krótszą niż 5 lat w przypadku logów administracyjnych  [Tak/Nie]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F1B75FA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14:paraId="3168AB65" w14:textId="77777777" w:rsidR="008321ED" w:rsidRPr="00515D7C" w:rsidRDefault="008321ED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  <w:tr w:rsidR="00034FDB" w:rsidRPr="00515D7C" w14:paraId="509508B6" w14:textId="77777777" w:rsidTr="00034FDB">
        <w:trPr>
          <w:trHeight w:val="566"/>
        </w:trPr>
        <w:tc>
          <w:tcPr>
            <w:tcW w:w="12474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1E3FD05D" w14:textId="77777777" w:rsidR="006E0137" w:rsidRDefault="00034FDB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7F9913B6" w14:textId="6BD46711" w:rsidR="00034FDB" w:rsidRPr="00034FDB" w:rsidRDefault="006E0137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</w:t>
            </w:r>
            <w:r w:rsidR="00034FDB" w:rsidRPr="00034FDB">
              <w:rPr>
                <w:rFonts w:ascii="Times New Roman" w:eastAsia="WenQuanYi Zen Hei Sharp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Łącznie </w:t>
            </w:r>
            <w:r w:rsidR="00833101">
              <w:rPr>
                <w:rFonts w:ascii="Times New Roman" w:eastAsia="WenQuanYi Zen Hei Sharp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wartość</w:t>
            </w:r>
            <w:r w:rsidR="00034FDB" w:rsidRPr="00034FDB">
              <w:rPr>
                <w:rFonts w:ascii="Times New Roman" w:eastAsia="WenQuanYi Zen Hei Sharp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brutto</w:t>
            </w:r>
            <w:r w:rsidR="00453E0F">
              <w:rPr>
                <w:rFonts w:ascii="Times New Roman" w:eastAsia="WenQuanYi Zen Hei Sharp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(w tym 0% stawki podatku VAT)</w:t>
            </w:r>
          </w:p>
        </w:tc>
        <w:tc>
          <w:tcPr>
            <w:tcW w:w="1911" w:type="dxa"/>
            <w:tcBorders>
              <w:left w:val="single" w:sz="6" w:space="0" w:color="000001"/>
              <w:right w:val="single" w:sz="6" w:space="0" w:color="000001"/>
            </w:tcBorders>
          </w:tcPr>
          <w:p w14:paraId="2E9621A2" w14:textId="77777777" w:rsidR="00034FDB" w:rsidRPr="00515D7C" w:rsidRDefault="00034FDB" w:rsidP="001D55A7">
            <w:pPr>
              <w:suppressAutoHyphens w:val="0"/>
              <w:snapToGrid w:val="0"/>
              <w:jc w:val="center"/>
              <w:rPr>
                <w:rFonts w:ascii="Times New Roman" w:eastAsia="WenQuanYi Zen Hei Sharp" w:hAnsi="Times New Roman" w:cs="Times New Roman"/>
                <w:color w:val="00000A"/>
                <w:sz w:val="16"/>
                <w:szCs w:val="16"/>
                <w:lang w:eastAsia="zh-CN" w:bidi="hi-IN"/>
              </w:rPr>
            </w:pPr>
          </w:p>
        </w:tc>
      </w:tr>
    </w:tbl>
    <w:p w14:paraId="3592A026" w14:textId="77777777" w:rsidR="002C6DAD" w:rsidRDefault="002C6DAD">
      <w:pPr>
        <w:rPr>
          <w:b/>
          <w:szCs w:val="20"/>
        </w:rPr>
      </w:pPr>
    </w:p>
    <w:p w14:paraId="5F064A2B" w14:textId="77777777" w:rsidR="002C6DAD" w:rsidRDefault="002C6DAD">
      <w:pPr>
        <w:rPr>
          <w:b/>
          <w:szCs w:val="20"/>
        </w:rPr>
      </w:pPr>
    </w:p>
    <w:p w14:paraId="0F58351B" w14:textId="77777777" w:rsidR="002C6DAD" w:rsidRDefault="002C6DAD" w:rsidP="002C6DAD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14:paraId="45FA0C59" w14:textId="77777777" w:rsidR="002C6DAD" w:rsidRDefault="002C6DAD" w:rsidP="002C6DAD">
      <w:pPr>
        <w:numPr>
          <w:ilvl w:val="0"/>
          <w:numId w:val="3"/>
        </w:numPr>
        <w:tabs>
          <w:tab w:val="left" w:pos="459"/>
        </w:tabs>
        <w:spacing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zostanie zrealizowane w zadeklarowanym terminie;</w:t>
      </w:r>
    </w:p>
    <w:p w14:paraId="24B88D5F" w14:textId="77777777" w:rsidR="002C6DAD" w:rsidRDefault="002C6DAD" w:rsidP="002C6DAD">
      <w:pPr>
        <w:numPr>
          <w:ilvl w:val="0"/>
          <w:numId w:val="2"/>
        </w:numPr>
        <w:tabs>
          <w:tab w:val="left" w:pos="459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naszej oferty zostały uwzględnione wszystkie koszty wykonania zamówienia;</w:t>
      </w:r>
    </w:p>
    <w:p w14:paraId="3F71B5AC" w14:textId="721DC72D" w:rsidR="002C6DAD" w:rsidRPr="006E0137" w:rsidRDefault="002C6DAD" w:rsidP="006E0137">
      <w:pPr>
        <w:numPr>
          <w:ilvl w:val="0"/>
          <w:numId w:val="2"/>
        </w:numPr>
        <w:tabs>
          <w:tab w:val="left" w:pos="459"/>
        </w:tabs>
        <w:spacing w:after="40"/>
        <w:jc w:val="both"/>
        <w:rPr>
          <w:b/>
          <w:szCs w:val="20"/>
        </w:rPr>
      </w:pPr>
      <w:r w:rsidRPr="006E0137">
        <w:rPr>
          <w:rFonts w:ascii="Times New Roman" w:hAnsi="Times New Roman" w:cs="Times New Roman"/>
          <w:sz w:val="24"/>
          <w:szCs w:val="24"/>
        </w:rPr>
        <w:t>zapoznaliśmy się ze Specyfikacją Warunków Zamówienia oraz stanowiącymi jej integralną część załącznikami i nie wnosimy do nich zastrzeżeń oraz przyjmujemy warunki w nich zawarte;</w:t>
      </w:r>
    </w:p>
    <w:sectPr w:rsidR="002C6DAD" w:rsidRPr="006E0137" w:rsidSect="00515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7559" w14:textId="77777777" w:rsidR="00A82C47" w:rsidRDefault="00A82C47" w:rsidP="00515D7C">
      <w:r>
        <w:separator/>
      </w:r>
    </w:p>
  </w:endnote>
  <w:endnote w:type="continuationSeparator" w:id="0">
    <w:p w14:paraId="5EF25730" w14:textId="77777777" w:rsidR="00A82C47" w:rsidRDefault="00A82C47" w:rsidP="0051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iberation Mono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E2FB" w14:textId="77777777" w:rsidR="00A82C47" w:rsidRDefault="00A82C47" w:rsidP="00515D7C">
      <w:r>
        <w:separator/>
      </w:r>
    </w:p>
  </w:footnote>
  <w:footnote w:type="continuationSeparator" w:id="0">
    <w:p w14:paraId="685D564F" w14:textId="77777777" w:rsidR="00A82C47" w:rsidRDefault="00A82C47" w:rsidP="0051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7D0"/>
    <w:multiLevelType w:val="multilevel"/>
    <w:tmpl w:val="BCD0EE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75FA3B6D"/>
    <w:multiLevelType w:val="multilevel"/>
    <w:tmpl w:val="FFB0B6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WenQuanYi Zen Hei Sharp" w:cs="Liberation Mono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85648287">
    <w:abstractNumId w:val="1"/>
  </w:num>
  <w:num w:numId="2" w16cid:durableId="48308201">
    <w:abstractNumId w:val="0"/>
  </w:num>
  <w:num w:numId="3" w16cid:durableId="3307642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7B"/>
    <w:rsid w:val="00034FDB"/>
    <w:rsid w:val="001D3996"/>
    <w:rsid w:val="00262E97"/>
    <w:rsid w:val="002C6DAD"/>
    <w:rsid w:val="00453E0F"/>
    <w:rsid w:val="004A20E1"/>
    <w:rsid w:val="00515D7C"/>
    <w:rsid w:val="00600844"/>
    <w:rsid w:val="0069569D"/>
    <w:rsid w:val="006E0137"/>
    <w:rsid w:val="00821D0B"/>
    <w:rsid w:val="008321ED"/>
    <w:rsid w:val="00833101"/>
    <w:rsid w:val="008B4477"/>
    <w:rsid w:val="00953C53"/>
    <w:rsid w:val="00A164B8"/>
    <w:rsid w:val="00A241C0"/>
    <w:rsid w:val="00A5296A"/>
    <w:rsid w:val="00A82C47"/>
    <w:rsid w:val="00DE06AE"/>
    <w:rsid w:val="00DF507B"/>
    <w:rsid w:val="00E840A2"/>
    <w:rsid w:val="00F74FE6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E887"/>
  <w15:chartTrackingRefBased/>
  <w15:docId w15:val="{A92C8189-E5FC-4B8F-9C03-0C2329DA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07B"/>
    <w:pPr>
      <w:suppressAutoHyphens/>
      <w:spacing w:after="0" w:line="240" w:lineRule="auto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DF507B"/>
    <w:rPr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DF507B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F507B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qFormat/>
    <w:rsid w:val="00DF50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D7C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15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D7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44FE-A6F3-48BC-97B6-A636E6B8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2378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Kwiecień</dc:creator>
  <cp:keywords/>
  <dc:description/>
  <cp:lastModifiedBy>Wiesława Szepioła</cp:lastModifiedBy>
  <cp:revision>28</cp:revision>
  <dcterms:created xsi:type="dcterms:W3CDTF">2023-10-23T10:50:00Z</dcterms:created>
  <dcterms:modified xsi:type="dcterms:W3CDTF">2023-10-24T06:52:00Z</dcterms:modified>
</cp:coreProperties>
</file>