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6F2" w:rsidRPr="00D97103" w:rsidRDefault="007926F2" w:rsidP="00C56113">
      <w:pPr>
        <w:jc w:val="center"/>
        <w:rPr>
          <w:b/>
        </w:rPr>
      </w:pPr>
    </w:p>
    <w:p w:rsidR="007926F2" w:rsidRPr="00D97103" w:rsidRDefault="007926F2" w:rsidP="00C56113">
      <w:pPr>
        <w:jc w:val="center"/>
        <w:rPr>
          <w:b/>
        </w:rPr>
      </w:pPr>
    </w:p>
    <w:p w:rsidR="007926F2" w:rsidRPr="00D97103" w:rsidRDefault="007926F2" w:rsidP="00C56113">
      <w:pPr>
        <w:jc w:val="center"/>
        <w:rPr>
          <w:b/>
        </w:rPr>
      </w:pPr>
      <w:r w:rsidRPr="00D97103">
        <w:rPr>
          <w:b/>
        </w:rPr>
        <w:t>OPIS PRZEDMIOTU ZAMÓWIENIA</w:t>
      </w:r>
    </w:p>
    <w:p w:rsidR="007926F2" w:rsidRPr="00D97103" w:rsidRDefault="007926F2" w:rsidP="002561EE">
      <w:pPr>
        <w:rPr>
          <w:b/>
        </w:rPr>
      </w:pPr>
    </w:p>
    <w:p w:rsidR="007926F2" w:rsidRPr="00D97103" w:rsidRDefault="007926F2" w:rsidP="00C56113">
      <w:pPr>
        <w:jc w:val="center"/>
        <w:rPr>
          <w:b/>
        </w:rPr>
      </w:pPr>
      <w:r w:rsidRPr="00D97103">
        <w:rPr>
          <w:b/>
        </w:rPr>
        <w:t>Dostawa 6 kompletów urządzeń służących do zestawienia przęseł teletransmisyjnych realizowanych poprzez łącza radioliniowe.</w:t>
      </w:r>
    </w:p>
    <w:p w:rsidR="007926F2" w:rsidRPr="00D97103" w:rsidRDefault="007926F2" w:rsidP="004A74DD">
      <w:pPr>
        <w:jc w:val="right"/>
      </w:pPr>
    </w:p>
    <w:p w:rsidR="007926F2" w:rsidRPr="00D97103" w:rsidRDefault="007926F2" w:rsidP="002561EE">
      <w:pPr>
        <w:pStyle w:val="Akapitzlist"/>
        <w:numPr>
          <w:ilvl w:val="0"/>
          <w:numId w:val="1"/>
        </w:numPr>
        <w:jc w:val="both"/>
        <w:rPr>
          <w:b/>
        </w:rPr>
      </w:pPr>
      <w:r w:rsidRPr="00D97103">
        <w:t>Przedmiotem zamówienia jest:</w:t>
      </w:r>
    </w:p>
    <w:p w:rsidR="007926F2" w:rsidRPr="00D97103" w:rsidRDefault="007926F2" w:rsidP="004A74DD">
      <w:pPr>
        <w:pStyle w:val="Akapitzlist"/>
        <w:numPr>
          <w:ilvl w:val="1"/>
          <w:numId w:val="1"/>
        </w:numPr>
        <w:jc w:val="both"/>
      </w:pPr>
      <w:r w:rsidRPr="00D97103">
        <w:t xml:space="preserve">dostawa 6 kompletów urządzeń służących do zestawienia przęseł teletransmisyjnych realizowanych poprzez łącza radioliniowe; </w:t>
      </w:r>
    </w:p>
    <w:p w:rsidR="007926F2" w:rsidRPr="00D97103" w:rsidRDefault="007926F2" w:rsidP="004A74DD">
      <w:pPr>
        <w:pStyle w:val="Akapitzlist"/>
        <w:numPr>
          <w:ilvl w:val="1"/>
          <w:numId w:val="1"/>
        </w:numPr>
        <w:jc w:val="both"/>
      </w:pPr>
      <w:r w:rsidRPr="00D97103">
        <w:t xml:space="preserve">dostawa niezbędnych materiałów i osprzętu montażowego wraz z okablowaniem </w:t>
      </w:r>
    </w:p>
    <w:p w:rsidR="007926F2" w:rsidRPr="00D97103" w:rsidRDefault="007926F2" w:rsidP="004A74DD">
      <w:pPr>
        <w:pStyle w:val="Akapitzlist"/>
        <w:numPr>
          <w:ilvl w:val="1"/>
          <w:numId w:val="1"/>
        </w:numPr>
        <w:jc w:val="both"/>
      </w:pPr>
      <w:r w:rsidRPr="00D97103">
        <w:t xml:space="preserve">dostawa dokumentacji technicznej </w:t>
      </w:r>
    </w:p>
    <w:p w:rsidR="007926F2" w:rsidRPr="00D97103" w:rsidRDefault="007926F2" w:rsidP="00521AC9">
      <w:pPr>
        <w:pStyle w:val="Akapitzlist"/>
        <w:ind w:left="735"/>
        <w:jc w:val="both"/>
      </w:pPr>
    </w:p>
    <w:p w:rsidR="007926F2" w:rsidRPr="00D97103" w:rsidRDefault="007926F2" w:rsidP="00521AC9">
      <w:pPr>
        <w:pStyle w:val="Akapitzlist"/>
        <w:numPr>
          <w:ilvl w:val="0"/>
          <w:numId w:val="1"/>
        </w:numPr>
        <w:jc w:val="both"/>
        <w:rPr>
          <w:b/>
        </w:rPr>
      </w:pPr>
      <w:r w:rsidRPr="00D97103">
        <w:rPr>
          <w:b/>
        </w:rPr>
        <w:t>Wymagania techniczne dla każdego 6 dostarczonych kompletów radioliniowych przęseł teletransmisyjnych:</w:t>
      </w:r>
    </w:p>
    <w:p w:rsidR="007926F2" w:rsidRPr="00D97103" w:rsidRDefault="007926F2" w:rsidP="004A74DD">
      <w:pPr>
        <w:pStyle w:val="Akapitzlist"/>
        <w:jc w:val="both"/>
      </w:pP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 xml:space="preserve">Licencjonowane pasma pracy: 13 GHz, 18 GHz,23 GHz, 38 GHz; wymagana przepustowość radiolinii min. 400 </w:t>
      </w:r>
      <w:proofErr w:type="spellStart"/>
      <w:r w:rsidRPr="00D97103">
        <w:t>Mbps</w:t>
      </w:r>
      <w:proofErr w:type="spellEnd"/>
      <w:r w:rsidRPr="00D97103">
        <w:t xml:space="preserve"> w pełnym </w:t>
      </w:r>
      <w:proofErr w:type="spellStart"/>
      <w:r w:rsidRPr="00D97103">
        <w:t>duplexie</w:t>
      </w:r>
      <w:proofErr w:type="spellEnd"/>
      <w:r w:rsidRPr="00D97103">
        <w:t xml:space="preserve"> (ramka danych 1518 Bajtów) przy szerokości kanału transmisyjnego 56 MHz (zgodnie z testem RFC-2544) 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Wspierane szerokości kanałów transmisyjnych: 3.5, 7, 14, 28, 56 MHz;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 xml:space="preserve">Transmisja min. 50 </w:t>
      </w:r>
      <w:proofErr w:type="spellStart"/>
      <w:r w:rsidRPr="00D97103">
        <w:t>Mbps</w:t>
      </w:r>
      <w:proofErr w:type="spellEnd"/>
      <w:r w:rsidRPr="00D97103">
        <w:t xml:space="preserve"> w pełnym </w:t>
      </w:r>
      <w:proofErr w:type="spellStart"/>
      <w:r w:rsidRPr="00D97103">
        <w:t>duplexie</w:t>
      </w:r>
      <w:proofErr w:type="spellEnd"/>
      <w:r w:rsidRPr="00D97103">
        <w:t xml:space="preserve"> w kanale 7MHz i 110 </w:t>
      </w:r>
      <w:proofErr w:type="spellStart"/>
      <w:r w:rsidRPr="00D97103">
        <w:t>Mbps</w:t>
      </w:r>
      <w:proofErr w:type="spellEnd"/>
      <w:r w:rsidRPr="00D97103">
        <w:t xml:space="preserve"> w pełnym </w:t>
      </w:r>
      <w:proofErr w:type="spellStart"/>
      <w:r w:rsidRPr="00D97103">
        <w:t>duplexie</w:t>
      </w:r>
      <w:proofErr w:type="spellEnd"/>
      <w:r w:rsidRPr="00D97103">
        <w:t xml:space="preserve"> w kanale 14 MHz (ramka danych 1518 Bajtów). 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Co najmniej 4 interfejsy Ethernet do wykorzystania przez użytkownika typu: 1000Base-T lub 1000Base-X SFP w zakończeniu sieciowym przęsła; porty muszą mieć możliwość pracy jako przełącznik Ethernet L2 z obsługą sieci wirtualnych, możliwość konfiguracji polityki ruchu (</w:t>
      </w:r>
      <w:proofErr w:type="spellStart"/>
      <w:r w:rsidRPr="00D97103">
        <w:t>QoS</w:t>
      </w:r>
      <w:proofErr w:type="spellEnd"/>
      <w:r w:rsidRPr="00D97103">
        <w:t xml:space="preserve">), z obsługą klasyfikacji pakietów zgodnie z 802.1p, VLAN-ID, IPv4/DSCP, IPv6/TOS, MPLS;   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Co najmniej 10 interfejsów E1/G.703 120 Ohm do wykorzystania przez użytkownika;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Co najmniej 1 interfejs zarządzający Ethernet 10/100Base-T (RJ-45)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Możliwość wykorzystania mechanizmu pozwalającego na niezakłócone wykorzystywanie dwóch polaryzacji w jednym kanale radiowym (XPIC);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 xml:space="preserve">Możliwość wykorzystania mechanizmu kompresji nagłówków przesyłanych pakietów uwzględniając wszystkie warstwy modelu OSI do 4 włącznie; Jumbo </w:t>
      </w:r>
      <w:proofErr w:type="spellStart"/>
      <w:r w:rsidRPr="00D97103">
        <w:t>Frames</w:t>
      </w:r>
      <w:proofErr w:type="spellEnd"/>
      <w:r w:rsidRPr="00D97103">
        <w:t xml:space="preserve"> dla ramek min. 9600B;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Możliwość wykorzystania mechanizmu dynamicznej zmiany modulacji w trybie adaptacyjnym;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Wyłącznie software’owe rozszerzenie kanału/zmiany pasma bez wymiany elementów IDU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 xml:space="preserve">Każdy element radiolinii musi umożliwiać skalowanie przepustowości w zakresie 10-400 </w:t>
      </w:r>
      <w:proofErr w:type="spellStart"/>
      <w:r w:rsidRPr="00D97103">
        <w:t>Mbps</w:t>
      </w:r>
      <w:proofErr w:type="spellEnd"/>
      <w:r w:rsidRPr="00D97103">
        <w:t>; zmiany przepustowości muszą być realizowane programowo z poziomu stanowiska zarządzania;</w:t>
      </w:r>
    </w:p>
    <w:p w:rsidR="007926F2" w:rsidRPr="00D97103" w:rsidRDefault="007926F2" w:rsidP="003F48CB">
      <w:pPr>
        <w:pStyle w:val="Akapitzlist"/>
        <w:numPr>
          <w:ilvl w:val="1"/>
          <w:numId w:val="1"/>
        </w:numPr>
        <w:ind w:left="851" w:hanging="491"/>
        <w:jc w:val="both"/>
      </w:pPr>
      <w:r w:rsidRPr="00D97103">
        <w:t>Dostępność średnioroczna łącza radioliniowego na poziomie minimum 99,99%</w:t>
      </w:r>
    </w:p>
    <w:p w:rsidR="007926F2" w:rsidRPr="00D97103" w:rsidRDefault="007926F2" w:rsidP="004A74DD">
      <w:pPr>
        <w:pStyle w:val="Akapitzlist"/>
        <w:ind w:left="735"/>
        <w:jc w:val="both"/>
      </w:pPr>
    </w:p>
    <w:p w:rsidR="007926F2" w:rsidRPr="00D97103" w:rsidRDefault="007926F2" w:rsidP="00521AC9">
      <w:pPr>
        <w:pStyle w:val="Akapitzlist"/>
        <w:numPr>
          <w:ilvl w:val="0"/>
          <w:numId w:val="1"/>
        </w:numPr>
        <w:jc w:val="both"/>
        <w:rPr>
          <w:b/>
        </w:rPr>
      </w:pPr>
      <w:r w:rsidRPr="00D97103">
        <w:rPr>
          <w:b/>
        </w:rPr>
        <w:t>Wymagania konstrukcyjne dla każdego z 6 dostarczonych kompletów radioliniowych przęseł teletransmisyjnych:</w:t>
      </w:r>
    </w:p>
    <w:p w:rsidR="007926F2" w:rsidRPr="00D97103" w:rsidRDefault="007926F2" w:rsidP="004A74DD">
      <w:pPr>
        <w:pStyle w:val="Akapitzlist"/>
        <w:jc w:val="both"/>
      </w:pP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 xml:space="preserve">Architektura oparta o jednostki: zewnętrzną i wewnętrzną (IDU/ODU) spięte kablem pośredniej częstotliwości, system musi zapewniać poprawną pracę przy odległości jednostek co najmniej </w:t>
      </w:r>
      <w:smartTag w:uri="urn:schemas-microsoft-com:office:smarttags" w:element="metricconverter">
        <w:smartTagPr>
          <w:attr w:name="ProductID" w:val="200 m"/>
        </w:smartTagPr>
        <w:r w:rsidRPr="00D97103">
          <w:t>200 m</w:t>
        </w:r>
      </w:smartTag>
      <w:r w:rsidRPr="00D97103">
        <w:t>.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 xml:space="preserve"> Jednostki zewnętrzna i wewnętrzna spięte bezpośrednio kablem koncentrycznym, antena zamontowana na jednostce zewnętrznej bez dodatkowego falowodu;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Jednostka wewnętrzna IDU w obudowie typu RACK 19”/1U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Zasilanie 48 DC z 2 niezależnych wejść;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lastRenderedPageBreak/>
        <w:t xml:space="preserve">Temperatura pracy jednostki zewnętrznej co najmniej od </w:t>
      </w:r>
      <w:smartTag w:uri="urn:schemas-microsoft-com:office:smarttags" w:element="metricconverter">
        <w:smartTagPr>
          <w:attr w:name="ProductID" w:val="-33C"/>
        </w:smartTagPr>
        <w:r w:rsidRPr="00D97103">
          <w:t>-33C</w:t>
        </w:r>
      </w:smartTag>
      <w:r w:rsidRPr="00D97103">
        <w:t xml:space="preserve"> do +</w:t>
      </w:r>
      <w:smartTag w:uri="urn:schemas-microsoft-com:office:smarttags" w:element="metricconverter">
        <w:smartTagPr>
          <w:attr w:name="ProductID" w:val="55 C"/>
        </w:smartTagPr>
        <w:r w:rsidRPr="00D97103">
          <w:t>55 C</w:t>
        </w:r>
      </w:smartTag>
      <w:r w:rsidRPr="00D97103">
        <w:t>;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 xml:space="preserve">Temperatura pracy jednostki wewnętrznej co najmniej od </w:t>
      </w:r>
      <w:smartTag w:uri="urn:schemas-microsoft-com:office:smarttags" w:element="metricconverter">
        <w:smartTagPr>
          <w:attr w:name="ProductID" w:val="-2C"/>
        </w:smartTagPr>
        <w:r w:rsidRPr="00D97103">
          <w:t>-2C</w:t>
        </w:r>
      </w:smartTag>
      <w:r w:rsidRPr="00D97103">
        <w:t xml:space="preserve"> do +</w:t>
      </w:r>
      <w:smartTag w:uri="urn:schemas-microsoft-com:office:smarttags" w:element="metricconverter">
        <w:smartTagPr>
          <w:attr w:name="ProductID" w:val="50 C"/>
        </w:smartTagPr>
        <w:r w:rsidRPr="00D97103">
          <w:t>50 C</w:t>
        </w:r>
      </w:smartTag>
      <w:r w:rsidRPr="00D97103">
        <w:t>;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Port zarządzania lokalnego RS-232 lub USB do zarządzania z linii komend;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Zarządzanie globalne z wykorzystaniem mechanizmu Web.</w:t>
      </w:r>
    </w:p>
    <w:p w:rsidR="007926F2" w:rsidRPr="00D97103" w:rsidRDefault="007926F2" w:rsidP="004A74DD">
      <w:pPr>
        <w:pStyle w:val="Akapitzlist"/>
        <w:ind w:left="735"/>
        <w:jc w:val="both"/>
      </w:pPr>
    </w:p>
    <w:p w:rsidR="007926F2" w:rsidRPr="00D97103" w:rsidRDefault="007926F2" w:rsidP="00521AC9">
      <w:pPr>
        <w:pStyle w:val="Akapitzlist"/>
        <w:numPr>
          <w:ilvl w:val="0"/>
          <w:numId w:val="1"/>
        </w:numPr>
        <w:jc w:val="both"/>
        <w:rPr>
          <w:b/>
        </w:rPr>
      </w:pPr>
      <w:r w:rsidRPr="00D97103">
        <w:rPr>
          <w:b/>
        </w:rPr>
        <w:t>Informacje uzupełniające:</w:t>
      </w:r>
    </w:p>
    <w:p w:rsidR="007926F2" w:rsidRPr="00D97103" w:rsidRDefault="007926F2" w:rsidP="00D67FDE">
      <w:pPr>
        <w:pStyle w:val="Akapitzlist"/>
        <w:numPr>
          <w:ilvl w:val="1"/>
          <w:numId w:val="1"/>
        </w:numPr>
        <w:jc w:val="both"/>
      </w:pPr>
      <w:r w:rsidRPr="00D97103">
        <w:t xml:space="preserve">Zamawiający we własnym zakresie, w terminie późniejszym, dokona montażu i uruchomienia dostarczonych urządzeń służących do zestawienia przęseł teletransmisyjnych realizowanych poprzez łącza radioliniowe.  </w:t>
      </w:r>
    </w:p>
    <w:p w:rsidR="007926F2" w:rsidRPr="00D97103" w:rsidRDefault="007926F2" w:rsidP="00D67FDE">
      <w:pPr>
        <w:pStyle w:val="Akapitzlist"/>
        <w:numPr>
          <w:ilvl w:val="1"/>
          <w:numId w:val="1"/>
        </w:numPr>
        <w:jc w:val="both"/>
      </w:pPr>
      <w:r w:rsidRPr="00D97103">
        <w:t xml:space="preserve">Zakładana przepływność każdego z linków to 100 </w:t>
      </w:r>
      <w:proofErr w:type="spellStart"/>
      <w:r w:rsidRPr="00D97103">
        <w:t>Mbps</w:t>
      </w:r>
      <w:proofErr w:type="spellEnd"/>
      <w:r w:rsidRPr="00D97103">
        <w:t>.</w:t>
      </w:r>
    </w:p>
    <w:p w:rsidR="007926F2" w:rsidRPr="00D97103" w:rsidRDefault="007926F2" w:rsidP="00D67FDE">
      <w:pPr>
        <w:pStyle w:val="Akapitzlist"/>
        <w:numPr>
          <w:ilvl w:val="1"/>
          <w:numId w:val="1"/>
        </w:numPr>
        <w:jc w:val="both"/>
      </w:pPr>
      <w:r w:rsidRPr="00D97103">
        <w:t>Dostarczone urządzenia muszą umożliwić zestawienie i uruchomienie bezpośrednich przęseł teletransmisyjnych realizowanych poprzez łącza radioliniowe na odległość: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smartTag w:uri="urn:schemas-microsoft-com:office:smarttags" w:element="metricconverter">
        <w:smartTagPr>
          <w:attr w:name="ProductID" w:val="5840 metrów"/>
        </w:smartTagPr>
        <w:r w:rsidRPr="00D97103">
          <w:t>5840 metrów</w:t>
        </w:r>
      </w:smartTag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smartTag w:uri="urn:schemas-microsoft-com:office:smarttags" w:element="metricconverter">
        <w:smartTagPr>
          <w:attr w:name="ProductID" w:val="7000 metrów"/>
        </w:smartTagPr>
        <w:r w:rsidRPr="00D97103">
          <w:t>7000 metrów</w:t>
        </w:r>
      </w:smartTag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smartTag w:uri="urn:schemas-microsoft-com:office:smarttags" w:element="metricconverter">
        <w:smartTagPr>
          <w:attr w:name="ProductID" w:val="4200 metrów"/>
        </w:smartTagPr>
        <w:r w:rsidRPr="00D97103">
          <w:t>4200 metrów</w:t>
        </w:r>
      </w:smartTag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smartTag w:uri="urn:schemas-microsoft-com:office:smarttags" w:element="metricconverter">
        <w:smartTagPr>
          <w:attr w:name="ProductID" w:val="5000 metrów"/>
        </w:smartTagPr>
        <w:r w:rsidRPr="00D97103">
          <w:t>5000 metrów</w:t>
        </w:r>
      </w:smartTag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smartTag w:uri="urn:schemas-microsoft-com:office:smarttags" w:element="metricconverter">
        <w:smartTagPr>
          <w:attr w:name="ProductID" w:val="18000 metrów"/>
        </w:smartTagPr>
        <w:r w:rsidRPr="00D97103">
          <w:t>18000 metrów</w:t>
        </w:r>
      </w:smartTag>
      <w:r w:rsidRPr="00D97103">
        <w:t xml:space="preserve"> 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smartTag w:uri="urn:schemas-microsoft-com:office:smarttags" w:element="metricconverter">
        <w:smartTagPr>
          <w:attr w:name="ProductID" w:val="18340 metrów"/>
        </w:smartTagPr>
        <w:r w:rsidRPr="00D97103">
          <w:t>18340 metrów</w:t>
        </w:r>
      </w:smartTag>
      <w:r w:rsidRPr="00D97103">
        <w:t xml:space="preserve"> </w:t>
      </w:r>
    </w:p>
    <w:p w:rsidR="007926F2" w:rsidRPr="00D97103" w:rsidRDefault="007926F2" w:rsidP="004A74DD">
      <w:pPr>
        <w:pStyle w:val="Akapitzlist"/>
        <w:jc w:val="both"/>
      </w:pPr>
    </w:p>
    <w:p w:rsidR="007926F2" w:rsidRPr="00D97103" w:rsidRDefault="007926F2" w:rsidP="00F17525">
      <w:pPr>
        <w:pStyle w:val="Akapitzlist"/>
        <w:numPr>
          <w:ilvl w:val="0"/>
          <w:numId w:val="1"/>
        </w:numPr>
        <w:jc w:val="both"/>
        <w:rPr>
          <w:b/>
        </w:rPr>
      </w:pPr>
      <w:r w:rsidRPr="00D97103">
        <w:rPr>
          <w:b/>
        </w:rPr>
        <w:t>Zamawiający wymaga, aby oferta obejmowała: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 xml:space="preserve">Dostawę 6 kompletów urządzeń służących do zestawienia przęseł teletransmisyjnych realizowanych poprzez łącza radioliniowe wraz z niezbędnym osprzętem montażowym </w:t>
      </w:r>
      <w:r w:rsidRPr="00D97103">
        <w:br/>
        <w:t>i okablowaniem, które będą zawierały dla każdego kompletu: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 xml:space="preserve">Urządzenia radioliniowe w wersji IDU+ODU wraz z antenami i licencjami na przepustowość na poziomie min. 100 </w:t>
      </w:r>
      <w:proofErr w:type="spellStart"/>
      <w:r w:rsidRPr="00D97103">
        <w:t>Mbps</w:t>
      </w:r>
      <w:proofErr w:type="spellEnd"/>
      <w:r w:rsidRPr="00D97103">
        <w:t>, modulację adaptacyjną, dodatkowymi portami GE a także licencjami do eksploatowanego w Wydziale Teleinformatyki KWP we Wrocławiu systemu zarządzania łączami radioliniowymi, które w terminie późniejszym, po instalacji i uruchomieniu urządzeń (usługa ta nie jest przedmiotem niniejszego postępowania), umożliwią objęcie nadzorem dostarczonych linków radioliniowych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 xml:space="preserve">kabel sygnałowy zapewniający transmisję i zasilanie pomiędzy IDU i ODU – 150 </w:t>
      </w:r>
      <w:proofErr w:type="spellStart"/>
      <w:r w:rsidRPr="00D97103">
        <w:t>mb</w:t>
      </w:r>
      <w:proofErr w:type="spellEnd"/>
      <w:r w:rsidRPr="00D97103">
        <w:t>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uziemiacze do dostarczanego kabla – 6szt.;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konektory proste pasujące do dostarczanego kabla sygnałowego i urządzeń – 4 szt.;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jumpery jeśli wymagane do połączenia IDU z ODU – 2 szt.;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zasilacze 48Vdc do zasilania IDU – 2 szt.;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odgromniki gazowe odpowiednie dla dostarczanego kabla – 2 szt.;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uchwyty kablowe FIMO lub podobne odpowiednie dla dostarczonego kabla sygnałowego - 150 szt.;</w:t>
      </w:r>
    </w:p>
    <w:p w:rsidR="007926F2" w:rsidRPr="00D97103" w:rsidRDefault="007926F2" w:rsidP="00F17525">
      <w:pPr>
        <w:pStyle w:val="Akapitzlist"/>
        <w:numPr>
          <w:ilvl w:val="2"/>
          <w:numId w:val="1"/>
        </w:numPr>
        <w:jc w:val="both"/>
      </w:pPr>
      <w:r w:rsidRPr="00D97103">
        <w:t>uniwersalne wsporniki pod anteny – 2szt.;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 xml:space="preserve">Dostarczone urządzenia muszą umożliwiać ich dołączenie oraz nadzór i zarządzania poprzez eksploatowany w KWP we Wrocławiu system zarządzania łączami radioliniowymi </w:t>
      </w:r>
      <w:proofErr w:type="spellStart"/>
      <w:r w:rsidRPr="00D97103">
        <w:t>NetMaster</w:t>
      </w:r>
      <w:proofErr w:type="spellEnd"/>
      <w:r w:rsidRPr="00D97103">
        <w:t xml:space="preserve"> </w:t>
      </w:r>
      <w:proofErr w:type="spellStart"/>
      <w:r w:rsidRPr="00D97103">
        <w:t>Ceragon</w:t>
      </w:r>
      <w:proofErr w:type="spellEnd"/>
      <w:r w:rsidRPr="00D97103">
        <w:t xml:space="preserve"> wersja R4A02 aktualnie pracujący z przęsłami radioliniowymi </w:t>
      </w:r>
      <w:proofErr w:type="spellStart"/>
      <w:r w:rsidRPr="00D97103">
        <w:t>Ceragon</w:t>
      </w:r>
      <w:proofErr w:type="spellEnd"/>
      <w:r w:rsidRPr="00D97103">
        <w:t xml:space="preserve"> </w:t>
      </w:r>
      <w:proofErr w:type="spellStart"/>
      <w:r w:rsidRPr="00D97103">
        <w:t>FibeAir</w:t>
      </w:r>
      <w:proofErr w:type="spellEnd"/>
      <w:r w:rsidRPr="00D97103">
        <w:t xml:space="preserve"> IP-20G. Dodatkowe licencje do systemu nadzoru i zarządzania muszą być dostarczone równocześnie z dostawa sprzętu; 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Urządzenia i anteny muszą zostać dostarczone w oryginalnych opakowaniach producenta.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 xml:space="preserve">Dopuszcza się dostawę kabla sygnałowego na bębnie/bębnach, który/które będą zawierały wielokrotność odcinków 150 </w:t>
      </w:r>
      <w:proofErr w:type="spellStart"/>
      <w:r w:rsidRPr="00D97103">
        <w:t>mb</w:t>
      </w:r>
      <w:proofErr w:type="spellEnd"/>
      <w:r w:rsidRPr="00D97103">
        <w:t>. kabla.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Minimalny okres gwarancyjny na dostarczone urządzenia - 60 miesięczny.</w:t>
      </w:r>
    </w:p>
    <w:p w:rsidR="007926F2" w:rsidRPr="00D97103" w:rsidRDefault="007926F2" w:rsidP="00521AC9">
      <w:pPr>
        <w:pStyle w:val="Akapitzlist"/>
        <w:numPr>
          <w:ilvl w:val="1"/>
          <w:numId w:val="1"/>
        </w:numPr>
        <w:jc w:val="both"/>
      </w:pPr>
      <w:r w:rsidRPr="00D97103">
        <w:t>Dokumentację techniczną wszystkich dostarczonych urządzeń (w przypadku dołączenia dokumentacji technicznej elementów systemu opracowanej przez producenta dostarczanych urządzeń, jeżeli nie udostępnia on dokumentacji w języku polskim dopuszczalna jest jej wersja angielskojęzyczna). `</w:t>
      </w:r>
    </w:p>
    <w:p w:rsidR="007926F2" w:rsidRPr="00D97103" w:rsidRDefault="007926F2" w:rsidP="00F32985">
      <w:pPr>
        <w:pStyle w:val="Akapitzlist"/>
        <w:numPr>
          <w:ilvl w:val="1"/>
          <w:numId w:val="1"/>
        </w:numPr>
        <w:jc w:val="both"/>
      </w:pPr>
      <w:r w:rsidRPr="00D97103">
        <w:lastRenderedPageBreak/>
        <w:t xml:space="preserve">Dokumentacja techniczna może być wykonana w wersji drukowanej lub w postaci elektronicznej na płycie CD-ROM lub równoważnym nośniku w postaci plików *.DOC </w:t>
      </w:r>
      <w:r w:rsidRPr="00D97103">
        <w:br/>
        <w:t xml:space="preserve">i *.PDF. </w:t>
      </w:r>
    </w:p>
    <w:p w:rsidR="007926F2" w:rsidRPr="00D97103" w:rsidRDefault="007926F2" w:rsidP="00F32985">
      <w:pPr>
        <w:pStyle w:val="Akapitzlist"/>
        <w:numPr>
          <w:ilvl w:val="1"/>
          <w:numId w:val="1"/>
        </w:numPr>
        <w:jc w:val="both"/>
      </w:pPr>
      <w:r w:rsidRPr="00D97103">
        <w:t>Zastosowane materiały i urządzenia pracujące na zewnętrz muszą być odporne na warunki atmosferyczne oraz zapewniać stałość parametrów niezależnie od warunków atmosferycznych.</w:t>
      </w:r>
    </w:p>
    <w:p w:rsidR="007926F2" w:rsidRPr="00D97103" w:rsidRDefault="007926F2" w:rsidP="004A74DD">
      <w:pPr>
        <w:pStyle w:val="Akapitzlist"/>
        <w:ind w:left="735"/>
        <w:jc w:val="both"/>
      </w:pPr>
    </w:p>
    <w:p w:rsidR="007926F2" w:rsidRPr="00D97103" w:rsidRDefault="007926F2" w:rsidP="004A74DD">
      <w:pPr>
        <w:pStyle w:val="Akapitzlist"/>
        <w:ind w:left="735"/>
        <w:jc w:val="both"/>
      </w:pPr>
    </w:p>
    <w:p w:rsidR="007926F2" w:rsidRPr="00D97103" w:rsidRDefault="007926F2" w:rsidP="002C7309">
      <w:pPr>
        <w:jc w:val="both"/>
      </w:pPr>
      <w:bookmarkStart w:id="0" w:name="_GoBack"/>
      <w:bookmarkEnd w:id="0"/>
    </w:p>
    <w:sectPr w:rsidR="007926F2" w:rsidRPr="00D97103" w:rsidSect="008F3F94">
      <w:headerReference w:type="default" r:id="rId7"/>
      <w:pgSz w:w="11906" w:h="16838"/>
      <w:pgMar w:top="624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103" w:rsidRDefault="00D97103">
      <w:r>
        <w:separator/>
      </w:r>
    </w:p>
  </w:endnote>
  <w:endnote w:type="continuationSeparator" w:id="0">
    <w:p w:rsidR="00D97103" w:rsidRDefault="00D9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103" w:rsidRDefault="00D97103">
      <w:r>
        <w:separator/>
      </w:r>
    </w:p>
  </w:footnote>
  <w:footnote w:type="continuationSeparator" w:id="0">
    <w:p w:rsidR="00D97103" w:rsidRDefault="00D97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6F2" w:rsidRDefault="007926F2">
    <w:pPr>
      <w:pStyle w:val="Nagwek"/>
    </w:pPr>
    <w:r>
      <w:tab/>
    </w:r>
    <w:r>
      <w:tab/>
      <w:t>Załącznik nr 2 do umowy nr …./TI/2022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26C"/>
    <w:multiLevelType w:val="multilevel"/>
    <w:tmpl w:val="7A22008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15290B93"/>
    <w:multiLevelType w:val="hybridMultilevel"/>
    <w:tmpl w:val="4FD06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2223A3"/>
    <w:multiLevelType w:val="multilevel"/>
    <w:tmpl w:val="7826CB8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" w15:restartNumberingAfterBreak="0">
    <w:nsid w:val="2AAA743B"/>
    <w:multiLevelType w:val="multilevel"/>
    <w:tmpl w:val="4EE634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33E7616D"/>
    <w:multiLevelType w:val="multilevel"/>
    <w:tmpl w:val="A5EE174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5B5047D1"/>
    <w:multiLevelType w:val="hybridMultilevel"/>
    <w:tmpl w:val="C6C05D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68844D6F"/>
    <w:multiLevelType w:val="multilevel"/>
    <w:tmpl w:val="B0867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6DCD0E72"/>
    <w:multiLevelType w:val="multilevel"/>
    <w:tmpl w:val="4DB45A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968"/>
    <w:rsid w:val="00013F93"/>
    <w:rsid w:val="0001573B"/>
    <w:rsid w:val="00054EDC"/>
    <w:rsid w:val="000867B8"/>
    <w:rsid w:val="000D2B25"/>
    <w:rsid w:val="001107E2"/>
    <w:rsid w:val="00123C9F"/>
    <w:rsid w:val="001417D5"/>
    <w:rsid w:val="001A57DF"/>
    <w:rsid w:val="001C6E82"/>
    <w:rsid w:val="001D0C11"/>
    <w:rsid w:val="001D77B3"/>
    <w:rsid w:val="00221C43"/>
    <w:rsid w:val="002561EE"/>
    <w:rsid w:val="00272968"/>
    <w:rsid w:val="002C7309"/>
    <w:rsid w:val="002C7629"/>
    <w:rsid w:val="002E3326"/>
    <w:rsid w:val="003624A9"/>
    <w:rsid w:val="00391738"/>
    <w:rsid w:val="003D196A"/>
    <w:rsid w:val="003D5DB8"/>
    <w:rsid w:val="003F48CB"/>
    <w:rsid w:val="00413D3E"/>
    <w:rsid w:val="00414FFD"/>
    <w:rsid w:val="00427F8B"/>
    <w:rsid w:val="00431125"/>
    <w:rsid w:val="004A5ADA"/>
    <w:rsid w:val="004A74DD"/>
    <w:rsid w:val="004B1ABA"/>
    <w:rsid w:val="004E4DEE"/>
    <w:rsid w:val="004F3075"/>
    <w:rsid w:val="0051346A"/>
    <w:rsid w:val="00521AC9"/>
    <w:rsid w:val="005462BB"/>
    <w:rsid w:val="00554C6F"/>
    <w:rsid w:val="005A1A67"/>
    <w:rsid w:val="005B535A"/>
    <w:rsid w:val="005E2893"/>
    <w:rsid w:val="005E32F6"/>
    <w:rsid w:val="00625E0D"/>
    <w:rsid w:val="006305F0"/>
    <w:rsid w:val="00647990"/>
    <w:rsid w:val="00651FCC"/>
    <w:rsid w:val="006B3EFA"/>
    <w:rsid w:val="006D5BF2"/>
    <w:rsid w:val="0076654D"/>
    <w:rsid w:val="007926F2"/>
    <w:rsid w:val="007A5202"/>
    <w:rsid w:val="007F5E48"/>
    <w:rsid w:val="00816E79"/>
    <w:rsid w:val="00831336"/>
    <w:rsid w:val="00867F53"/>
    <w:rsid w:val="008B6D1C"/>
    <w:rsid w:val="008F3F94"/>
    <w:rsid w:val="009357E7"/>
    <w:rsid w:val="00943C72"/>
    <w:rsid w:val="00971CC1"/>
    <w:rsid w:val="009A5ACA"/>
    <w:rsid w:val="009C371F"/>
    <w:rsid w:val="009D12F3"/>
    <w:rsid w:val="009D3BBA"/>
    <w:rsid w:val="00A47A32"/>
    <w:rsid w:val="00A53D70"/>
    <w:rsid w:val="00A5410F"/>
    <w:rsid w:val="00A70939"/>
    <w:rsid w:val="00A739F2"/>
    <w:rsid w:val="00A93DE6"/>
    <w:rsid w:val="00A95EC9"/>
    <w:rsid w:val="00AC6D42"/>
    <w:rsid w:val="00AD7F91"/>
    <w:rsid w:val="00AF3689"/>
    <w:rsid w:val="00B37921"/>
    <w:rsid w:val="00B8773A"/>
    <w:rsid w:val="00C317AC"/>
    <w:rsid w:val="00C5398F"/>
    <w:rsid w:val="00C56113"/>
    <w:rsid w:val="00C7652D"/>
    <w:rsid w:val="00C82816"/>
    <w:rsid w:val="00CE4BB8"/>
    <w:rsid w:val="00D513D3"/>
    <w:rsid w:val="00D67FDE"/>
    <w:rsid w:val="00D741AB"/>
    <w:rsid w:val="00D9214F"/>
    <w:rsid w:val="00D97103"/>
    <w:rsid w:val="00DB0C10"/>
    <w:rsid w:val="00DB161A"/>
    <w:rsid w:val="00DF258E"/>
    <w:rsid w:val="00DF7FC3"/>
    <w:rsid w:val="00E27351"/>
    <w:rsid w:val="00E51C9A"/>
    <w:rsid w:val="00E736B7"/>
    <w:rsid w:val="00EC30F5"/>
    <w:rsid w:val="00F17525"/>
    <w:rsid w:val="00F2554D"/>
    <w:rsid w:val="00F32985"/>
    <w:rsid w:val="00F56084"/>
    <w:rsid w:val="00FA23DD"/>
    <w:rsid w:val="00FA7478"/>
    <w:rsid w:val="00FB37F8"/>
    <w:rsid w:val="00FC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357A7C-EF1E-4141-8D9E-F5521B16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4DD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13F93"/>
    <w:pPr>
      <w:spacing w:before="200" w:after="0" w:line="271" w:lineRule="auto"/>
      <w:outlineLvl w:val="2"/>
    </w:pPr>
    <w:rPr>
      <w:rFonts w:ascii="Cambria" w:eastAsia="Times New Roman" w:hAnsi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013F93"/>
    <w:rPr>
      <w:rFonts w:ascii="Cambria" w:hAnsi="Cambria" w:cs="Times New Roman"/>
      <w:b/>
      <w:bCs/>
    </w:rPr>
  </w:style>
  <w:style w:type="paragraph" w:styleId="Akapitzlist">
    <w:name w:val="List Paragraph"/>
    <w:basedOn w:val="Normalny"/>
    <w:uiPriority w:val="99"/>
    <w:qFormat/>
    <w:rsid w:val="004A74DD"/>
    <w:pPr>
      <w:ind w:left="720"/>
      <w:contextualSpacing/>
    </w:pPr>
  </w:style>
  <w:style w:type="paragraph" w:styleId="Bezodstpw">
    <w:name w:val="No Spacing"/>
    <w:uiPriority w:val="99"/>
    <w:qFormat/>
    <w:rsid w:val="004A74D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C6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C6E82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83133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rsid w:val="00943C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43C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43C7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3C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3C72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7F8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14F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414F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5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5175</Characters>
  <Application>Microsoft Office Word</Application>
  <DocSecurity>0</DocSecurity>
  <Lines>43</Lines>
  <Paragraphs>12</Paragraphs>
  <ScaleCrop>false</ScaleCrop>
  <Company/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6 kompletów urządzeń służących do zestawienia przęseł teletransmisyjnych realizowanych poprzez łącza radioliniowe</dc:title>
  <dc:subject/>
  <dc:creator>Grzegorz</dc:creator>
  <cp:keywords/>
  <dc:description/>
  <cp:lastModifiedBy>KWP WROCŁAW</cp:lastModifiedBy>
  <cp:revision>4</cp:revision>
  <cp:lastPrinted>2022-11-08T12:34:00Z</cp:lastPrinted>
  <dcterms:created xsi:type="dcterms:W3CDTF">2022-11-10T08:27:00Z</dcterms:created>
  <dcterms:modified xsi:type="dcterms:W3CDTF">2022-11-17T09:13:00Z</dcterms:modified>
</cp:coreProperties>
</file>