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8D" w:rsidRDefault="0095758D" w:rsidP="0095758D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 10.4 do SWZ</w:t>
      </w:r>
    </w:p>
    <w:p w:rsidR="0095758D" w:rsidRPr="007835AE" w:rsidRDefault="0095758D" w:rsidP="0095758D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FF16E5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26429E" w:rsidRPr="0026429E">
        <w:rPr>
          <w:rFonts w:asciiTheme="minorHAnsi" w:eastAsia="Calibri" w:hAnsiTheme="minorHAnsi" w:cstheme="minorHAnsi"/>
          <w:sz w:val="24"/>
          <w:szCs w:val="24"/>
          <w:lang w:eastAsia="ar-SA"/>
        </w:rPr>
        <w:t>regionalnego</w:t>
      </w:r>
      <w:r w:rsidR="00FF16E5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r w:rsidR="003E2772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="007D63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zamówienia </w:t>
      </w:r>
      <w:r w:rsidR="003E2772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Coaching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RODO - rozporządzenie Parlamentu Europejskiego i Rady (UE) 2016/679z dnia 27 kwietnia 2016 r. w sprawie ochrony osób fizycznych w związkuz przetwarzaniem danych osobowych i w sprawie swobodnego przepływutakich danych oraz uchylenia 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236FB2" w:rsidRDefault="00325FA2" w:rsidP="00236FB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ind w:left="714" w:hanging="357"/>
        <w:contextualSpacing w:val="0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236FB2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236FB2">
        <w:rPr>
          <w:rFonts w:cstheme="minorHAnsi"/>
          <w:color w:val="00000A"/>
          <w:sz w:val="24"/>
          <w:szCs w:val="24"/>
        </w:rPr>
        <w:t xml:space="preserve">nr </w:t>
      </w:r>
      <w:r w:rsidR="007516F3" w:rsidRPr="00236FB2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236FB2">
        <w:rPr>
          <w:rFonts w:cstheme="minorHAnsi"/>
          <w:color w:val="00000A"/>
          <w:sz w:val="24"/>
          <w:szCs w:val="24"/>
        </w:rPr>
        <w:t xml:space="preserve">zawarta pomiędzy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236FB2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236FB2">
        <w:rPr>
          <w:rFonts w:cstheme="minorHAnsi"/>
          <w:color w:val="00000A"/>
          <w:sz w:val="24"/>
          <w:szCs w:val="24"/>
        </w:rPr>
        <w:t xml:space="preserve">jest </w:t>
      </w:r>
      <w:r w:rsidR="0093619D" w:rsidRPr="00236FB2">
        <w:rPr>
          <w:rFonts w:cstheme="minorHAnsi"/>
          <w:sz w:val="24"/>
          <w:szCs w:val="24"/>
        </w:rPr>
        <w:t xml:space="preserve">świadczenie przez </w:t>
      </w:r>
      <w:r w:rsidR="0093619D" w:rsidRPr="00236FB2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236FB2">
        <w:rPr>
          <w:rFonts w:cstheme="minorHAnsi"/>
          <w:sz w:val="24"/>
          <w:szCs w:val="24"/>
        </w:rPr>
        <w:t xml:space="preserve"> usług </w:t>
      </w:r>
      <w:r w:rsidR="003E2772">
        <w:rPr>
          <w:rFonts w:cstheme="minorHAnsi"/>
          <w:sz w:val="24"/>
          <w:szCs w:val="24"/>
        </w:rPr>
        <w:t>coach</w:t>
      </w:r>
      <w:r w:rsidR="00236FB2" w:rsidRPr="00236FB2">
        <w:rPr>
          <w:rFonts w:cstheme="minorHAnsi"/>
          <w:sz w:val="24"/>
          <w:szCs w:val="24"/>
        </w:rPr>
        <w:t>ingu</w:t>
      </w:r>
      <w:r w:rsidR="0093619D" w:rsidRPr="00236FB2">
        <w:rPr>
          <w:rFonts w:cstheme="minorHAnsi"/>
          <w:sz w:val="24"/>
          <w:szCs w:val="24"/>
        </w:rPr>
        <w:t xml:space="preserve">w ramach realizowanego przez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236FB2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26429E" w:rsidRPr="0026429E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93619D" w:rsidRPr="00236FB2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236FB2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236FB2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3E2772" w:rsidRPr="003E2772">
        <w:rPr>
          <w:sz w:val="24"/>
          <w:szCs w:val="24"/>
          <w:lang w:eastAsia="pl-PL"/>
        </w:rPr>
        <w:t xml:space="preserve">dla minimum 10 rodzin szacunkowo obejmujących 28 osób. </w:t>
      </w:r>
      <w:r w:rsidR="00DB045E" w:rsidRPr="003E2772">
        <w:rPr>
          <w:rFonts w:cstheme="minorHAnsi"/>
          <w:sz w:val="24"/>
          <w:szCs w:val="24"/>
        </w:rPr>
        <w:t>zakwalifikowanych do u</w:t>
      </w:r>
      <w:r w:rsidR="00DB045E" w:rsidRPr="00236FB2">
        <w:rPr>
          <w:rFonts w:cstheme="minorHAnsi"/>
          <w:sz w:val="24"/>
          <w:szCs w:val="24"/>
        </w:rPr>
        <w:t xml:space="preserve">czestnictwa w Projekcie </w:t>
      </w:r>
      <w:r w:rsidR="00FA7A48" w:rsidRPr="00236FB2">
        <w:rPr>
          <w:rFonts w:cstheme="minorHAnsi"/>
          <w:sz w:val="24"/>
          <w:szCs w:val="24"/>
        </w:rPr>
        <w:t xml:space="preserve">przez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236FB2">
        <w:rPr>
          <w:rFonts w:cstheme="minorHAnsi"/>
          <w:sz w:val="24"/>
          <w:szCs w:val="24"/>
        </w:rPr>
        <w:t xml:space="preserve">, </w:t>
      </w:r>
      <w:r w:rsidRPr="00236FB2">
        <w:rPr>
          <w:rFonts w:cstheme="minorHAnsi"/>
          <w:color w:val="00000A"/>
          <w:sz w:val="24"/>
          <w:szCs w:val="24"/>
        </w:rPr>
        <w:t>której wykonanie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236FB2">
        <w:rPr>
          <w:rFonts w:cstheme="minorHAnsi"/>
          <w:color w:val="00000A"/>
          <w:sz w:val="24"/>
          <w:szCs w:val="24"/>
        </w:rPr>
        <w:t xml:space="preserve">wymaga przetwarzania danych osobowych przez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236FB2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D7277">
        <w:rPr>
          <w:rFonts w:cstheme="minorHAnsi"/>
          <w:color w:val="000000"/>
          <w:sz w:val="24"/>
          <w:szCs w:val="24"/>
        </w:rPr>
        <w:t xml:space="preserve">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>Stron/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D6687B">
        <w:rPr>
          <w:rFonts w:cstheme="minorHAnsi"/>
          <w:color w:val="000000"/>
          <w:sz w:val="24"/>
          <w:szCs w:val="24"/>
        </w:rPr>
        <w:t xml:space="preserve">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</w:t>
      </w:r>
      <w:r w:rsidR="003E2772">
        <w:rPr>
          <w:rFonts w:cstheme="minorHAnsi"/>
          <w:color w:val="000000"/>
          <w:sz w:val="24"/>
          <w:szCs w:val="24"/>
        </w:rPr>
        <w:t xml:space="preserve">coachingu 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26429E" w:rsidRPr="0026429E">
        <w:rPr>
          <w:rFonts w:cstheme="minorHAnsi"/>
          <w:color w:val="000000"/>
          <w:sz w:val="24"/>
          <w:szCs w:val="24"/>
        </w:rPr>
        <w:t>regionalnego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257DC4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257DC4">
        <w:rPr>
          <w:rFonts w:cstheme="minorHAnsi"/>
          <w:color w:val="000000"/>
          <w:sz w:val="24"/>
          <w:szCs w:val="24"/>
        </w:rPr>
        <w:t xml:space="preserve">W </w:t>
      </w:r>
      <w:r w:rsidR="00D6687B" w:rsidRPr="00257DC4">
        <w:rPr>
          <w:rFonts w:cstheme="minorHAnsi"/>
          <w:color w:val="000000"/>
          <w:sz w:val="24"/>
          <w:szCs w:val="24"/>
        </w:rPr>
        <w:t>celu realizacji przedmiotu niniejszej umowy</w:t>
      </w:r>
      <w:r w:rsidR="00D6687B" w:rsidRPr="00257DC4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257DC4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>poinformował osoby, których dane osobowe są przedmiotem udostępnienia o odbiorcach ich danych osobowych, w szczególności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udostepnienia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 xml:space="preserve"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93619D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3619D">
        <w:rPr>
          <w:rFonts w:cstheme="minorHAnsi"/>
          <w:color w:val="000000"/>
          <w:sz w:val="24"/>
          <w:szCs w:val="24"/>
        </w:rPr>
        <w:t xml:space="preserve"> może przetwarzać dane osobowe wyłącznie w zakresie i celuprzewidzianym w Umowie Powierzenia oraz zgodnie z innymi udokumentowanymi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3619D">
        <w:rPr>
          <w:rFonts w:cstheme="minorHAnsi"/>
          <w:color w:val="000000"/>
          <w:sz w:val="24"/>
          <w:szCs w:val="24"/>
        </w:rPr>
        <w:t xml:space="preserve">poleceniami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, przy czym za udokumentowane polecenia uważa się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3619D">
        <w:rPr>
          <w:rFonts w:cstheme="minorHAnsi"/>
          <w:color w:val="000000"/>
          <w:sz w:val="24"/>
          <w:szCs w:val="24"/>
        </w:rPr>
        <w:t xml:space="preserve">postanowienia Umowy Powierzenia oraz zapisy umowy </w:t>
      </w:r>
      <w:r w:rsidR="003A0CB0">
        <w:rPr>
          <w:rFonts w:cstheme="minorHAnsi"/>
          <w:color w:val="000000"/>
          <w:sz w:val="24"/>
          <w:szCs w:val="24"/>
        </w:rPr>
        <w:t xml:space="preserve">na </w:t>
      </w:r>
      <w:r w:rsidR="003A0CB0" w:rsidRPr="00D8426E">
        <w:rPr>
          <w:rFonts w:cstheme="minorHAnsi"/>
          <w:sz w:val="24"/>
          <w:szCs w:val="24"/>
        </w:rPr>
        <w:t xml:space="preserve">świadczenie usług </w:t>
      </w:r>
      <w:r w:rsidR="003E2772">
        <w:rPr>
          <w:rFonts w:cstheme="minorHAnsi"/>
          <w:sz w:val="24"/>
          <w:szCs w:val="24"/>
        </w:rPr>
        <w:t>coachingu</w:t>
      </w:r>
      <w:r w:rsidR="00FF16E5">
        <w:rPr>
          <w:rFonts w:cstheme="minorHAnsi"/>
          <w:sz w:val="24"/>
          <w:szCs w:val="24"/>
        </w:rPr>
        <w:t xml:space="preserve"> </w:t>
      </w:r>
      <w:r w:rsidR="003A0CB0" w:rsidRPr="00D8426E">
        <w:rPr>
          <w:rFonts w:cstheme="minorHAnsi"/>
          <w:sz w:val="24"/>
          <w:szCs w:val="24"/>
        </w:rPr>
        <w:t>w ramach Projektu pn. „Rodzina daje moc” realizowanego</w:t>
      </w:r>
      <w:r w:rsidR="003A0CB0">
        <w:rPr>
          <w:rFonts w:cstheme="minorHAnsi"/>
          <w:sz w:val="24"/>
          <w:szCs w:val="24"/>
        </w:rPr>
        <w:t xml:space="preserve"> przez</w:t>
      </w:r>
      <w:r w:rsidR="00FF16E5">
        <w:rPr>
          <w:rFonts w:cstheme="minorHAnsi"/>
          <w:sz w:val="24"/>
          <w:szCs w:val="24"/>
        </w:rPr>
        <w:t xml:space="preserve"> </w:t>
      </w:r>
      <w:r w:rsidR="003A0CB0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F16E5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3A0CB0" w:rsidRPr="00D8426E">
        <w:rPr>
          <w:rFonts w:cstheme="minorHAnsi"/>
          <w:sz w:val="24"/>
          <w:szCs w:val="24"/>
        </w:rPr>
        <w:t xml:space="preserve">w ramach programu </w:t>
      </w:r>
      <w:r w:rsidR="0026429E" w:rsidRPr="0026429E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3A0CB0" w:rsidRPr="00D8426E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r w:rsidR="003A0CB0">
        <w:rPr>
          <w:rFonts w:eastAsia="Calibri"/>
          <w:sz w:val="24"/>
          <w:szCs w:val="24"/>
          <w:lang w:eastAsia="ar-SA"/>
        </w:rPr>
        <w:t xml:space="preserve"> dla</w:t>
      </w:r>
      <w:r w:rsidR="003E2772" w:rsidRPr="002D3377">
        <w:rPr>
          <w:lang w:eastAsia="pl-PL"/>
        </w:rPr>
        <w:t xml:space="preserve"> minimum 10 rodzin szacunkowo obejmujących 28 osób.</w:t>
      </w:r>
      <w:r w:rsidR="006003D2" w:rsidRPr="009E1758">
        <w:rPr>
          <w:rFonts w:eastAsia="Calibri" w:cstheme="minorHAnsi"/>
          <w:sz w:val="24"/>
          <w:szCs w:val="24"/>
          <w:lang w:eastAsia="ar-SA"/>
        </w:rPr>
        <w:t xml:space="preserve">, zakwalifikowanych </w:t>
      </w:r>
      <w:r w:rsidR="00DB045E" w:rsidRPr="001152C5">
        <w:rPr>
          <w:rFonts w:cstheme="minorHAnsi"/>
          <w:sz w:val="24"/>
          <w:szCs w:val="24"/>
        </w:rPr>
        <w:t>do uczestnictwa w Projekci</w:t>
      </w:r>
      <w:r w:rsidR="006003D2">
        <w:rPr>
          <w:rFonts w:cstheme="minorHAnsi"/>
          <w:sz w:val="24"/>
          <w:szCs w:val="24"/>
        </w:rPr>
        <w:t>e</w:t>
      </w:r>
      <w:r w:rsidR="003A0CB0" w:rsidRPr="00D8426E">
        <w:rPr>
          <w:rFonts w:cstheme="minorHAnsi"/>
          <w:sz w:val="24"/>
          <w:szCs w:val="24"/>
        </w:rPr>
        <w:t xml:space="preserve"> przez </w:t>
      </w:r>
      <w:r w:rsidR="003A0CB0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93619D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="00FF16E5"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</w:t>
      </w:r>
      <w:r w:rsidRPr="0093619D">
        <w:rPr>
          <w:rFonts w:cstheme="minorHAnsi"/>
          <w:color w:val="000000"/>
          <w:sz w:val="24"/>
          <w:szCs w:val="24"/>
        </w:rPr>
        <w:t>drogą ele</w:t>
      </w:r>
      <w:r w:rsidR="00887357" w:rsidRPr="0093619D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93619D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93619D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posiada fachową wiedzę i zasoby konieczne do należytej realizacji niniejszej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umowy, w szczególności wdrożył odpowiednie środki techniczne i organizacyjnegwarantujące bezpieczeństwo powierzonych do przetwarzania danych osobowych,w tym m. in. wdrożył - przy uwzględnieniu stanu wiedzy technicznej, kosztu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wdrażania oraz charakteru, zakresu, kontekstu i celów przetwarzania oraz ryzyka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naruszenia praw lub wolności osób fizycznych o różnym prawdopodobieństwie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wystąpienia i wadze zagrożenia - odpowiednie środki techniczne i organizacyjne,w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lastRenderedPageBreak/>
        <w:t>dane osobowe będą przetwarzane wyłącznie na obszarze Państw CzłonkowskichUnii Europejskiej (UE) lub państw sygnatariuszy Umowy o Europejskim Obszarze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Gospodarczym (EOG). Jakiekolwiek przekazanie powierzonych danych osobowych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dostęp do danych osobowych, będzie je przetwarzała wyłącznie w celach i zakresie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prowadzić rejestr wszystkich kategorii czynności przetwarzania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>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podpowierzenia, tożsamości (firmie) podmiotu, któremu ma zamiar </w:t>
      </w:r>
      <w:r w:rsidR="00FF16E5">
        <w:rPr>
          <w:rFonts w:cstheme="minorHAnsi"/>
          <w:color w:val="000000"/>
          <w:sz w:val="24"/>
          <w:szCs w:val="24"/>
        </w:rPr>
        <w:t xml:space="preserve">podpowie rzyć </w:t>
      </w:r>
      <w:r w:rsidRPr="009439B9">
        <w:rPr>
          <w:rFonts w:cstheme="minorHAnsi"/>
          <w:color w:val="000000"/>
          <w:sz w:val="24"/>
          <w:szCs w:val="24"/>
        </w:rPr>
        <w:t>przetwarzanie a także o: charakterze podpowierzenia, zakresie danych, celu i czasie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</w:t>
      </w:r>
      <w:r w:rsidR="00FF16E5">
        <w:rPr>
          <w:rFonts w:cstheme="minorHAnsi"/>
          <w:color w:val="00000A"/>
          <w:sz w:val="24"/>
          <w:szCs w:val="24"/>
        </w:rPr>
        <w:t xml:space="preserve">podpowiedzenie </w:t>
      </w:r>
      <w:r w:rsidRPr="009D7277">
        <w:rPr>
          <w:rFonts w:cstheme="minorHAnsi"/>
          <w:color w:val="00000A"/>
          <w:sz w:val="24"/>
          <w:szCs w:val="24"/>
        </w:rPr>
        <w:t>przetwarzania będzie mieć za podstawę umowę, na podstawie której subprocesor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1" w:name="_Hlk178107039"/>
      <w:r w:rsidR="00FF16E5">
        <w:rPr>
          <w:rFonts w:cstheme="minorHAnsi"/>
          <w:sz w:val="24"/>
          <w:szCs w:val="24"/>
        </w:rPr>
        <w:t xml:space="preserve"> </w:t>
      </w:r>
      <w:r w:rsidR="0093619D" w:rsidRPr="00A054DA">
        <w:rPr>
          <w:rFonts w:cstheme="minorHAnsi"/>
          <w:sz w:val="24"/>
          <w:szCs w:val="24"/>
        </w:rPr>
        <w:t xml:space="preserve">usług </w:t>
      </w:r>
      <w:r w:rsidR="003E2772">
        <w:rPr>
          <w:rFonts w:cstheme="minorHAnsi"/>
          <w:sz w:val="24"/>
          <w:szCs w:val="24"/>
        </w:rPr>
        <w:t>coachingu</w:t>
      </w:r>
      <w:r w:rsidR="00FF16E5">
        <w:rPr>
          <w:rFonts w:cstheme="minorHAnsi"/>
          <w:sz w:val="24"/>
          <w:szCs w:val="24"/>
        </w:rPr>
        <w:t xml:space="preserve"> 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26429E" w:rsidRPr="0026429E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1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0E78F8">
        <w:rPr>
          <w:rFonts w:cstheme="minorHAnsi"/>
          <w:color w:val="000000"/>
          <w:sz w:val="24"/>
          <w:szCs w:val="24"/>
        </w:rPr>
        <w:t>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>ustania celu, dla którego niniejsza umowa została zawarta, w szczególności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4C12E3">
        <w:rPr>
          <w:rFonts w:cstheme="minorHAnsi"/>
          <w:color w:val="000000"/>
          <w:sz w:val="24"/>
          <w:szCs w:val="24"/>
        </w:rPr>
        <w:t xml:space="preserve">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 xml:space="preserve">usług </w:t>
      </w:r>
      <w:r w:rsidR="003E2772">
        <w:rPr>
          <w:rFonts w:cstheme="minorHAnsi"/>
          <w:sz w:val="24"/>
          <w:szCs w:val="24"/>
        </w:rPr>
        <w:t>coachingu</w:t>
      </w:r>
      <w:r w:rsidR="00A054DA" w:rsidRPr="004C12E3">
        <w:rPr>
          <w:rFonts w:cstheme="minorHAnsi"/>
          <w:sz w:val="24"/>
          <w:szCs w:val="24"/>
        </w:rPr>
        <w:t xml:space="preserve">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26429E" w:rsidRPr="0026429E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>Po zakończeniu świadczenia usług związanych z przetwarzaniem danych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 xml:space="preserve">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Powierzenie przetwarzania danych osobowych następuje w celu wykonania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FF16E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3E2772">
        <w:rPr>
          <w:rFonts w:cstheme="minorHAnsi"/>
          <w:sz w:val="24"/>
          <w:szCs w:val="24"/>
        </w:rPr>
        <w:t xml:space="preserve">coachingu 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26429E" w:rsidRPr="0026429E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dotyczące powierzonych danych osobowych: zbieranie, utrwalanie, organizowanie,porządkowanie, przechowywanie, adaptowanie lub modyfikowanie, pobieranie,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rozpowszechnianie lub innego rodzaju udostępnianie, dopasowywanie lub łączenie,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ograniczanie, usuwanie lub niszczenie, przekazywanie do</w:t>
      </w:r>
      <w:r w:rsidR="00A82319"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="00A82319" w:rsidRPr="00FA2FE3">
        <w:rPr>
          <w:rFonts w:cstheme="minorHAnsi"/>
          <w:color w:val="000000"/>
          <w:sz w:val="24"/>
          <w:szCs w:val="24"/>
        </w:rPr>
        <w:t>a</w:t>
      </w:r>
      <w:r w:rsidRPr="00FA2FE3">
        <w:rPr>
          <w:rFonts w:cstheme="minorHAnsi"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elektronicznej w systemach informatycznych oraz w formie papierowej.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lastRenderedPageBreak/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i organizacyjne wywiązać się z obowiązku odpowiadania na żądania osoby, której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,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zapewni, aby osoby upoważnione do przetwarzania danych osobowych zachowały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 tajemnicy przetwarzane dane osobowe jak i sposoby ich zabezpieczenia lub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podlegały odpowiedniemu ustawowemu obowiązkowi zachowania ich w tajemnicy.Obowiązek wskazany w zadaniu poprzednim obowiązuje bezterminowo, mimo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="009A1BF1">
        <w:rPr>
          <w:rFonts w:cstheme="minorHAnsi"/>
          <w:color w:val="00000A"/>
          <w:sz w:val="24"/>
          <w:szCs w:val="24"/>
        </w:rPr>
        <w:t>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>wszelkie informacje niezbędne do potwierdzenia, że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="00FF16E5">
        <w:rPr>
          <w:rFonts w:cstheme="minorHAnsi"/>
          <w:b/>
          <w:i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przeprowadzi wstępną analizę ryzyka naruszenia praw i wolności osób,których dane dotyczą,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wszelkich kontrolach i inspekcjach dotyczących przetwarzania powierzonychdanych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organ nadzorczy.</w:t>
      </w:r>
    </w:p>
    <w:p w:rsidR="006003D2" w:rsidRDefault="006003D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lastRenderedPageBreak/>
        <w:t>§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 xml:space="preserve">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powierzonych danych osobowych spełniają postanowienia RODO i Umowy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 xml:space="preserve">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>jest uprawniony do żądania udzielenia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 xml:space="preserve">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z tytułu szkód, jakie osoba, której dane dotyczą może ponieść w wynikuniezgodnego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>zadośćuczynienia/grzywny/kary itp. z powodu niezgodnego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z prawem lub nieprawidłowego przetwarzania lub wykorzystania danych, za które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="00FF16E5">
        <w:rPr>
          <w:rFonts w:cstheme="minorHAnsi"/>
          <w:b/>
          <w:i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dołoży najlepszych starań w celu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325FA2" w:rsidRP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dokumentację na temat przetwarzania oraz wykorzystywania powierzonych danych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="00FF16E5">
        <w:rPr>
          <w:rFonts w:cstheme="minorHAnsi"/>
          <w:b/>
          <w:i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przekaże 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</w:t>
      </w:r>
      <w:r w:rsidR="00FF16E5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obrony przeciwko roszczeniom osób, których dane dotyczą lub innych osóbtrzecich.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lastRenderedPageBreak/>
        <w:t>pomimo zobowiązania go do usunięcia uchybień stwierdzonych podczas audytu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lub kontroli nie usunie ich w wyznaczonym terminie,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danych, materiałów, dokumentów i danych osobowych otrzymanych od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w jakikolwiek inny sposób, zamierzony czy przypadkowy w formie ustnej, pisemnej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>, nie będą one wykorzystywane,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A054DA">
        <w:rPr>
          <w:rFonts w:cstheme="minorHAnsi"/>
          <w:color w:val="000000"/>
          <w:sz w:val="24"/>
          <w:szCs w:val="24"/>
        </w:rPr>
        <w:t xml:space="preserve">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2" w:name="_Hlk178103333"/>
      <w:r w:rsidR="00A054DA" w:rsidRPr="00A054DA">
        <w:rPr>
          <w:rFonts w:cstheme="minorHAnsi"/>
          <w:sz w:val="24"/>
          <w:szCs w:val="24"/>
        </w:rPr>
        <w:t xml:space="preserve">świadczenie usług </w:t>
      </w:r>
      <w:r w:rsidR="003E2772">
        <w:rPr>
          <w:rFonts w:cstheme="minorHAnsi"/>
          <w:sz w:val="24"/>
          <w:szCs w:val="24"/>
        </w:rPr>
        <w:t xml:space="preserve">coachingu </w:t>
      </w:r>
      <w:r w:rsidR="00A054DA" w:rsidRPr="00A054DA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FF16E5">
        <w:rPr>
          <w:rFonts w:cstheme="minorHAnsi"/>
          <w:sz w:val="24"/>
          <w:szCs w:val="24"/>
        </w:rPr>
        <w:t xml:space="preserve">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 </w:t>
      </w:r>
      <w:r w:rsidR="006166CB" w:rsidRPr="006166CB">
        <w:rPr>
          <w:rFonts w:cstheme="minorHAnsi"/>
          <w:sz w:val="24"/>
          <w:szCs w:val="24"/>
        </w:rPr>
        <w:t>regionalnego</w:t>
      </w:r>
      <w:r w:rsidR="00FF16E5">
        <w:rPr>
          <w:rFonts w:cstheme="minorHAnsi"/>
          <w:sz w:val="24"/>
          <w:szCs w:val="24"/>
        </w:rPr>
        <w:t xml:space="preserve"> </w:t>
      </w:r>
      <w:r w:rsidR="00A054DA" w:rsidRPr="00A054DA">
        <w:rPr>
          <w:rFonts w:cstheme="minorHAnsi"/>
          <w:sz w:val="24"/>
          <w:szCs w:val="24"/>
        </w:rPr>
        <w:t xml:space="preserve">Fundusze Europejskie dla Łódzkiego </w:t>
      </w:r>
      <w:bookmarkStart w:id="3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  <w:bookmarkEnd w:id="3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A054DA">
        <w:rPr>
          <w:rFonts w:cstheme="minorHAnsi"/>
          <w:color w:val="000000"/>
          <w:sz w:val="24"/>
          <w:szCs w:val="24"/>
        </w:rPr>
        <w:t>posiadanych informacji wynika z obowiązujących przepisów prawa.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="00FF16E5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7F0C02" w:rsidRDefault="007F0C0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</w:p>
    <w:p w:rsidR="00FD2701" w:rsidRDefault="00FD2701" w:rsidP="00FD2701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D64F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321" w:rsidRDefault="00502321" w:rsidP="00887357">
      <w:pPr>
        <w:spacing w:after="0" w:line="240" w:lineRule="auto"/>
      </w:pPr>
      <w:r>
        <w:separator/>
      </w:r>
    </w:p>
  </w:endnote>
  <w:endnote w:type="continuationSeparator" w:id="1">
    <w:p w:rsidR="00502321" w:rsidRDefault="00502321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Pr="00FA7A48" w:rsidRDefault="00D64F5E" w:rsidP="005E3F04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FF16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321" w:rsidRDefault="00502321" w:rsidP="00887357">
      <w:pPr>
        <w:spacing w:after="0" w:line="240" w:lineRule="auto"/>
      </w:pPr>
      <w:r>
        <w:separator/>
      </w:r>
    </w:p>
  </w:footnote>
  <w:footnote w:type="continuationSeparator" w:id="1">
    <w:p w:rsidR="00502321" w:rsidRDefault="00502321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6990477A"/>
    <w:lvl w:ilvl="0" w:tplc="94FE69C6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35F6F"/>
    <w:rsid w:val="000770E1"/>
    <w:rsid w:val="000E2C2A"/>
    <w:rsid w:val="000E4C43"/>
    <w:rsid w:val="000E78F8"/>
    <w:rsid w:val="001152A2"/>
    <w:rsid w:val="00154197"/>
    <w:rsid w:val="001544CC"/>
    <w:rsid w:val="00161691"/>
    <w:rsid w:val="00174A31"/>
    <w:rsid w:val="0019160C"/>
    <w:rsid w:val="001F1DB1"/>
    <w:rsid w:val="001F788D"/>
    <w:rsid w:val="002159E2"/>
    <w:rsid w:val="00236FB2"/>
    <w:rsid w:val="00257DC4"/>
    <w:rsid w:val="0026429E"/>
    <w:rsid w:val="00325FA2"/>
    <w:rsid w:val="003A0CB0"/>
    <w:rsid w:val="003A34F9"/>
    <w:rsid w:val="003E2772"/>
    <w:rsid w:val="00442146"/>
    <w:rsid w:val="00477913"/>
    <w:rsid w:val="00493599"/>
    <w:rsid w:val="004C12E3"/>
    <w:rsid w:val="004C6970"/>
    <w:rsid w:val="00502321"/>
    <w:rsid w:val="005E3F04"/>
    <w:rsid w:val="006003D2"/>
    <w:rsid w:val="006166CB"/>
    <w:rsid w:val="00641BB0"/>
    <w:rsid w:val="00646131"/>
    <w:rsid w:val="00655B7B"/>
    <w:rsid w:val="006E79E6"/>
    <w:rsid w:val="007516F3"/>
    <w:rsid w:val="00771038"/>
    <w:rsid w:val="00774D48"/>
    <w:rsid w:val="007D6356"/>
    <w:rsid w:val="007F0C02"/>
    <w:rsid w:val="00887357"/>
    <w:rsid w:val="008878F5"/>
    <w:rsid w:val="0093619D"/>
    <w:rsid w:val="009439B9"/>
    <w:rsid w:val="0095758D"/>
    <w:rsid w:val="009A1BF1"/>
    <w:rsid w:val="009D7277"/>
    <w:rsid w:val="009D7666"/>
    <w:rsid w:val="00A054DA"/>
    <w:rsid w:val="00A31B0A"/>
    <w:rsid w:val="00A4410B"/>
    <w:rsid w:val="00A82319"/>
    <w:rsid w:val="00A964D2"/>
    <w:rsid w:val="00AA6E1C"/>
    <w:rsid w:val="00AE1AE1"/>
    <w:rsid w:val="00B02340"/>
    <w:rsid w:val="00B70947"/>
    <w:rsid w:val="00BB33AA"/>
    <w:rsid w:val="00BC297B"/>
    <w:rsid w:val="00C04E2A"/>
    <w:rsid w:val="00C14B85"/>
    <w:rsid w:val="00C630EA"/>
    <w:rsid w:val="00CA4EBD"/>
    <w:rsid w:val="00CB3DE3"/>
    <w:rsid w:val="00D50B25"/>
    <w:rsid w:val="00D63030"/>
    <w:rsid w:val="00D64F5E"/>
    <w:rsid w:val="00D6687B"/>
    <w:rsid w:val="00DA5D12"/>
    <w:rsid w:val="00DB045E"/>
    <w:rsid w:val="00DB679B"/>
    <w:rsid w:val="00DB7ADE"/>
    <w:rsid w:val="00DF0F1B"/>
    <w:rsid w:val="00E0266B"/>
    <w:rsid w:val="00E21553"/>
    <w:rsid w:val="00E409AD"/>
    <w:rsid w:val="00E66C39"/>
    <w:rsid w:val="00E676E8"/>
    <w:rsid w:val="00F11E68"/>
    <w:rsid w:val="00F86193"/>
    <w:rsid w:val="00FA2FE3"/>
    <w:rsid w:val="00FA7A48"/>
    <w:rsid w:val="00FD2701"/>
    <w:rsid w:val="00FE6A20"/>
    <w:rsid w:val="00FF1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F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2675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6</cp:revision>
  <cp:lastPrinted>2024-09-27T09:59:00Z</cp:lastPrinted>
  <dcterms:created xsi:type="dcterms:W3CDTF">2024-09-25T00:11:00Z</dcterms:created>
  <dcterms:modified xsi:type="dcterms:W3CDTF">2024-09-27T09:59:00Z</dcterms:modified>
</cp:coreProperties>
</file>