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27" w:rsidRPr="00784AA3" w:rsidRDefault="00745927" w:rsidP="00745927">
      <w:pPr>
        <w:jc w:val="right"/>
        <w:rPr>
          <w:rFonts w:eastAsia="Times New Roman" w:cs="Times New Roman"/>
          <w:kern w:val="0"/>
          <w:lang w:val="pl-PL" w:eastAsia="pl-PL" w:bidi="ar-SA"/>
        </w:rPr>
      </w:pPr>
      <w:r w:rsidRPr="00784AA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Zał</w:t>
      </w:r>
      <w:r w:rsidRPr="00784AA3">
        <w:rPr>
          <w:rFonts w:ascii="TimesNewRoman" w:eastAsia="Times New Roman" w:hAnsi="TimesNewRoman" w:cs="Times New Roman"/>
          <w:kern w:val="0"/>
          <w:sz w:val="20"/>
          <w:szCs w:val="20"/>
          <w:lang w:val="pl-PL" w:eastAsia="pl-PL" w:bidi="ar-SA"/>
        </w:rPr>
        <w:t>ą</w:t>
      </w:r>
      <w:r w:rsidRPr="00784AA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cznik Nr 3 do SWZ</w:t>
      </w:r>
    </w:p>
    <w:p w:rsidR="00745927" w:rsidRPr="00784AA3" w:rsidRDefault="00745927" w:rsidP="00745927">
      <w:pPr>
        <w:jc w:val="right"/>
        <w:rPr>
          <w:rFonts w:eastAsia="Times New Roman" w:cs="Times New Roman"/>
          <w:kern w:val="0"/>
          <w:lang w:val="pl-PL" w:eastAsia="pl-PL" w:bidi="ar-SA"/>
        </w:rPr>
      </w:pPr>
      <w:r w:rsidRPr="00784AA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w postępowaniu</w:t>
      </w:r>
    </w:p>
    <w:p w:rsidR="00745927" w:rsidRPr="00784AA3" w:rsidRDefault="00745927" w:rsidP="00745927">
      <w:pPr>
        <w:jc w:val="right"/>
        <w:rPr>
          <w:rFonts w:eastAsia="Times New Roman" w:cs="Times New Roman"/>
          <w:kern w:val="0"/>
          <w:lang w:val="pl-PL" w:eastAsia="pl-PL" w:bidi="ar-SA"/>
        </w:rPr>
      </w:pPr>
      <w:r w:rsidRPr="00784AA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znak: </w:t>
      </w:r>
      <w:r w:rsidR="00784AA3" w:rsidRPr="00784AA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DTG/129/ZP-10/23</w:t>
      </w:r>
    </w:p>
    <w:p w:rsidR="00745927" w:rsidRPr="008542AD" w:rsidRDefault="00745927" w:rsidP="00745927">
      <w:pPr>
        <w:textAlignment w:val="baseline"/>
        <w:rPr>
          <w:lang w:val="pl-PL"/>
        </w:rPr>
      </w:pPr>
    </w:p>
    <w:p w:rsidR="00745927" w:rsidRPr="008542AD" w:rsidRDefault="00745927" w:rsidP="00745927">
      <w:pPr>
        <w:jc w:val="center"/>
        <w:textAlignment w:val="baseline"/>
        <w:rPr>
          <w:b/>
          <w:sz w:val="28"/>
          <w:szCs w:val="28"/>
          <w:lang w:val="pl-PL"/>
        </w:rPr>
      </w:pPr>
      <w:r w:rsidRPr="008542AD">
        <w:rPr>
          <w:b/>
          <w:sz w:val="28"/>
          <w:szCs w:val="28"/>
          <w:lang w:val="pl-PL"/>
        </w:rPr>
        <w:t>Opis przedmiotu zamówienia</w:t>
      </w:r>
    </w:p>
    <w:p w:rsidR="00745927" w:rsidRPr="008542AD" w:rsidRDefault="00745927" w:rsidP="00745927">
      <w:pPr>
        <w:jc w:val="center"/>
        <w:textAlignment w:val="baseline"/>
        <w:rPr>
          <w:b/>
          <w:sz w:val="28"/>
          <w:szCs w:val="28"/>
          <w:lang w:val="pl-PL"/>
        </w:rPr>
      </w:pPr>
      <w:r w:rsidRPr="008542AD">
        <w:rPr>
          <w:b/>
          <w:sz w:val="28"/>
          <w:szCs w:val="28"/>
          <w:lang w:val="pl-PL"/>
        </w:rPr>
        <w:t>w postępowaniu na ,,dostawę oprogramowania”</w:t>
      </w:r>
    </w:p>
    <w:p w:rsidR="00745927" w:rsidRPr="008542AD" w:rsidRDefault="00745927" w:rsidP="00745927">
      <w:pPr>
        <w:jc w:val="center"/>
        <w:textAlignment w:val="baseline"/>
        <w:rPr>
          <w:b/>
          <w:lang w:val="pl-PL"/>
        </w:rPr>
      </w:pPr>
    </w:p>
    <w:p w:rsidR="00354A77" w:rsidRPr="008542AD" w:rsidRDefault="00354A77">
      <w:pPr>
        <w:textAlignment w:val="baseline"/>
        <w:rPr>
          <w:b/>
          <w:lang w:val="pl-PL"/>
        </w:rPr>
      </w:pPr>
    </w:p>
    <w:p w:rsidR="00354A77" w:rsidRPr="008542AD" w:rsidRDefault="00B77F70">
      <w:pPr>
        <w:jc w:val="center"/>
        <w:textAlignment w:val="baseline"/>
        <w:rPr>
          <w:lang w:val="pl-PL"/>
        </w:rPr>
      </w:pPr>
      <w:r w:rsidRPr="008542AD">
        <w:rPr>
          <w:b/>
          <w:sz w:val="28"/>
          <w:szCs w:val="28"/>
          <w:lang w:val="pl-PL"/>
        </w:rPr>
        <w:t xml:space="preserve">Część </w:t>
      </w:r>
      <w:r w:rsidR="00D878A4">
        <w:rPr>
          <w:b/>
          <w:sz w:val="28"/>
          <w:szCs w:val="28"/>
          <w:lang w:val="pl-PL"/>
        </w:rPr>
        <w:t>I</w:t>
      </w:r>
      <w:r w:rsidR="00F70AA8" w:rsidRPr="008542AD">
        <w:rPr>
          <w:b/>
          <w:sz w:val="28"/>
          <w:szCs w:val="28"/>
          <w:lang w:val="pl-PL"/>
        </w:rPr>
        <w:t>II</w:t>
      </w:r>
      <w:r w:rsidRPr="008542AD">
        <w:rPr>
          <w:b/>
          <w:sz w:val="28"/>
          <w:szCs w:val="28"/>
          <w:lang w:val="pl-PL"/>
        </w:rPr>
        <w:t xml:space="preserve"> – Oprogramowanie</w:t>
      </w:r>
      <w:r w:rsidR="00D878A4">
        <w:rPr>
          <w:b/>
          <w:sz w:val="28"/>
          <w:szCs w:val="28"/>
          <w:lang w:val="pl-PL"/>
        </w:rPr>
        <w:t xml:space="preserve"> 3</w:t>
      </w:r>
      <w:r w:rsidR="00A611B3">
        <w:rPr>
          <w:b/>
          <w:sz w:val="28"/>
          <w:szCs w:val="28"/>
          <w:lang w:val="pl-PL"/>
        </w:rPr>
        <w:t xml:space="preserve"> (po zmianie)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8542AD" w:rsidRPr="008542AD">
        <w:trPr>
          <w:trHeight w:val="255"/>
        </w:trPr>
        <w:tc>
          <w:tcPr>
            <w:tcW w:w="9638" w:type="dxa"/>
            <w:shd w:val="clear" w:color="000000" w:fill="FFFFFF"/>
          </w:tcPr>
          <w:p w:rsidR="00354A77" w:rsidRPr="008542AD" w:rsidRDefault="00354A77">
            <w:pPr>
              <w:spacing w:after="60"/>
              <w:rPr>
                <w:rFonts w:eastAsia="Times New Roman" w:cs="Calibri"/>
                <w:bCs/>
                <w:kern w:val="0"/>
                <w:sz w:val="12"/>
                <w:szCs w:val="12"/>
                <w:lang w:val="pl-PL" w:eastAsia="pl-PL" w:bidi="ar-SA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542AD" w:rsidRPr="00DD36DE">
              <w:trPr>
                <w:trHeight w:val="255"/>
              </w:trPr>
              <w:tc>
                <w:tcPr>
                  <w:tcW w:w="9498" w:type="dxa"/>
                  <w:shd w:val="clear" w:color="000000" w:fill="FFFFFF"/>
                </w:tcPr>
                <w:p w:rsidR="00354A77" w:rsidRPr="00DD36DE" w:rsidRDefault="00354A77">
                  <w:pPr>
                    <w:spacing w:after="60"/>
                    <w:rPr>
                      <w:rFonts w:eastAsia="Times New Roman" w:cs="Calibri"/>
                      <w:bCs/>
                      <w:kern w:val="0"/>
                      <w:sz w:val="12"/>
                      <w:szCs w:val="12"/>
                      <w:lang w:val="pl-PL" w:eastAsia="pl-PL" w:bidi="ar-SA"/>
                    </w:rPr>
                  </w:pPr>
                </w:p>
                <w:p w:rsidR="00354A77" w:rsidRPr="00DD36DE" w:rsidRDefault="00B77F70">
                  <w:pPr>
                    <w:spacing w:after="60"/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val="pl-PL" w:eastAsia="pl-PL" w:bidi="ar-SA"/>
                    </w:rPr>
                  </w:pPr>
                  <w:r w:rsidRPr="00DD36DE">
                    <w:rPr>
                      <w:rFonts w:eastAsia="Times New Roman" w:cs="Calibri"/>
                      <w:b/>
                      <w:bCs/>
                      <w:kern w:val="0"/>
                      <w:sz w:val="22"/>
                      <w:szCs w:val="22"/>
                      <w:lang w:val="pl-PL" w:eastAsia="pl-PL" w:bidi="ar-SA"/>
                    </w:rPr>
                    <w:t>Legenda:</w:t>
                  </w:r>
                </w:p>
              </w:tc>
            </w:tr>
          </w:tbl>
          <w:p w:rsidR="00354A77" w:rsidRPr="00DD36DE" w:rsidRDefault="00B77F70">
            <w:pPr>
              <w:ind w:left="426" w:hanging="284"/>
              <w:contextualSpacing/>
              <w:jc w:val="both"/>
              <w:rPr>
                <w:rFonts w:eastAsia="Times New Roman" w:cs="Calibri"/>
                <w:kern w:val="0"/>
                <w:sz w:val="22"/>
                <w:szCs w:val="22"/>
                <w:lang w:val="pl-PL" w:eastAsia="pl-PL" w:bidi="ar-SA"/>
              </w:rPr>
            </w:pPr>
            <w:r w:rsidRPr="00DD36DE">
              <w:rPr>
                <w:rFonts w:eastAsia="Times New Roman" w:cs="Calibri"/>
                <w:kern w:val="0"/>
                <w:sz w:val="22"/>
                <w:szCs w:val="22"/>
                <w:lang w:val="pl-PL" w:eastAsia="pl-PL" w:bidi="ar-SA"/>
              </w:rPr>
              <w:t>1.    Oferowany przedmiot zamówienia musi być zgodny z opisem.</w:t>
            </w:r>
          </w:p>
          <w:p w:rsidR="00354A77" w:rsidRPr="00DD36DE" w:rsidRDefault="00B77F70">
            <w:pPr>
              <w:ind w:left="426" w:hanging="284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2. Parametry minimalne są warunkami granicznymi tzn. niespełnienie któregokolwiek 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br/>
              <w:t>z wymienionych parametrów,  będzie skutkowało odrzuceniem oferty.</w:t>
            </w:r>
          </w:p>
          <w:p w:rsidR="003442E5" w:rsidRPr="00DD36DE" w:rsidRDefault="00FB619A" w:rsidP="001A0295">
            <w:pPr>
              <w:ind w:left="426" w:hanging="284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3. </w:t>
            </w:r>
            <w:r w:rsidR="003442E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Jeżeli w</w:t>
            </w:r>
            <w:r w:rsidR="003442E5" w:rsidRPr="00DD36DE">
              <w:t xml:space="preserve"> </w:t>
            </w:r>
            <w:proofErr w:type="spellStart"/>
            <w:r w:rsidR="003442E5" w:rsidRPr="00DD36DE">
              <w:t>opisie</w:t>
            </w:r>
            <w:proofErr w:type="spellEnd"/>
            <w:r w:rsidR="003442E5" w:rsidRPr="00DD36DE">
              <w:t xml:space="preserve"> </w:t>
            </w:r>
            <w:proofErr w:type="spellStart"/>
            <w:r w:rsidR="003442E5" w:rsidRPr="00DD36DE">
              <w:t>przedmiotu</w:t>
            </w:r>
            <w:proofErr w:type="spellEnd"/>
            <w:r w:rsidR="003442E5" w:rsidRPr="00DD36DE">
              <w:t xml:space="preserve"> </w:t>
            </w:r>
            <w:proofErr w:type="spellStart"/>
            <w:r w:rsidR="003442E5" w:rsidRPr="00DD36DE">
              <w:t>zamówienia</w:t>
            </w:r>
            <w:proofErr w:type="spellEnd"/>
            <w:r w:rsidR="003442E5" w:rsidRPr="00DD36DE">
              <w:t xml:space="preserve"> </w:t>
            </w:r>
            <w:r w:rsidR="003442E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wskazane zostały znaki towarowe,  lub pochodzenie, a przy tym znaku towarowym znajduje się dopisek </w:t>
            </w:r>
            <w:r w:rsidR="003442E5" w:rsidRPr="00157FC5">
              <w:rPr>
                <w:rFonts w:eastAsia="Times New Roman" w:cs="Times New Roman"/>
                <w:i/>
                <w:kern w:val="0"/>
                <w:sz w:val="22"/>
                <w:szCs w:val="22"/>
                <w:lang w:val="pl-PL" w:eastAsia="pl-PL" w:bidi="ar-SA"/>
              </w:rPr>
              <w:t>,,lub równoważne”,</w:t>
            </w:r>
            <w:r w:rsidR="003442E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Zamawiający może zaoferować rozwiązania równoważne</w:t>
            </w:r>
            <w:r w:rsidR="001062FE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do podanych przez </w:t>
            </w:r>
            <w:r w:rsidR="00DD36DE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Zamawiającego</w:t>
            </w:r>
            <w:r w:rsidR="003442E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.</w:t>
            </w:r>
          </w:p>
          <w:p w:rsidR="00FB619A" w:rsidRPr="00DD36DE" w:rsidRDefault="003442E5" w:rsidP="003442E5">
            <w:pPr>
              <w:ind w:left="426" w:hanging="284"/>
              <w:contextualSpacing/>
              <w:jc w:val="both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4. </w:t>
            </w:r>
            <w:r w:rsidR="00FB619A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Kryteria stosowane w celu oceny równoważności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: Wykonawca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który oferuje rozwiązania równoważne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ma obowiązek wykorzystać wszelkie dostępne mu środki w celu wykazania, iż oferowane przez nieg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o rozwiązanie jest równoważne. Wówczas o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bowiązkiem wykonawcy jest 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podanie opisu</w:t>
            </w:r>
            <w:r w:rsidR="001062FE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rozwiązania równoważnego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. Opis ten musi być na tyle szczegółowy, żeby zamawiający przy ocenie ofert mógł ocenić czy zaproponowane rozwiązania </w:t>
            </w:r>
            <w:r w:rsidR="001062FE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równoważne 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spełniają jego wymagania i będą należy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cie spełniały cel postępowania. 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Opis rozwiązania równoważnego 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należy podać w niniejszym załączniku </w:t>
            </w:r>
            <w:r w:rsid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br/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i 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powinien </w:t>
            </w:r>
            <w:r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być</w:t>
            </w:r>
            <w:r w:rsidR="001A0295" w:rsidRPr="00DD36DE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tak szczegółowy, żeby zamawiający w toku badania ofert mógł stwierdzić, czy zaproponowane rozwiązanie spełnia wymagania zamawiającego.</w:t>
            </w:r>
          </w:p>
          <w:p w:rsidR="00354A77" w:rsidRDefault="00B77F70">
            <w:pPr>
              <w:spacing w:beforeAutospacing="1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r w:rsidRPr="008542AD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Wymagane parametry techniczno-użytkowe (minimalne):</w:t>
            </w:r>
          </w:p>
          <w:p w:rsidR="007B47DD" w:rsidRDefault="007B47DD" w:rsidP="007B47DD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:rsidR="007B47DD" w:rsidRDefault="007B47DD" w:rsidP="007B47DD">
            <w:pPr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pl-PL" w:eastAsia="pl-PL" w:bidi="ar-SA"/>
              </w:rPr>
              <w:t>Wszystkie licencje muszą być rejestrowane na dane zamawiającego</w:t>
            </w:r>
          </w:p>
          <w:p w:rsidR="007B47DD" w:rsidRDefault="007B47DD" w:rsidP="007B47DD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(Państwowa Akademia Nauk Stosowanych w Krośnie</w:t>
            </w:r>
          </w:p>
          <w:p w:rsidR="007B47DD" w:rsidRDefault="007B47DD" w:rsidP="007B47DD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Rynek 1, 38-400 Krosno</w:t>
            </w:r>
          </w:p>
          <w:p w:rsidR="007B47DD" w:rsidRDefault="007B47DD" w:rsidP="007B47DD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tel. 13-43-755-00</w:t>
            </w:r>
          </w:p>
          <w:p w:rsidR="007B47DD" w:rsidRDefault="007B47DD" w:rsidP="007B47DD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e-mail: </w:t>
            </w:r>
            <w:hyperlink r:id="rId5" w:history="1">
              <w:r w:rsidRPr="00607051">
                <w:rPr>
                  <w:rStyle w:val="Hipercze"/>
                  <w:rFonts w:eastAsia="Times New Roman" w:cs="Times New Roman"/>
                  <w:kern w:val="0"/>
                  <w:sz w:val="22"/>
                  <w:szCs w:val="22"/>
                  <w:lang w:val="pl-PL" w:eastAsia="pl-PL" w:bidi="ar-SA"/>
                </w:rPr>
                <w:t>aktywacja@pans.krosno.pl</w:t>
              </w:r>
            </w:hyperlink>
          </w:p>
          <w:p w:rsidR="007B47DD" w:rsidRPr="007B47DD" w:rsidRDefault="007B47DD" w:rsidP="007B47DD">
            <w:pPr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NIP: 6842175051)</w:t>
            </w:r>
          </w:p>
          <w:p w:rsidR="00FB619A" w:rsidRPr="008542AD" w:rsidRDefault="00FB619A">
            <w:pPr>
              <w:spacing w:beforeAutospacing="1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</w:tbl>
    <w:p w:rsidR="00404D48" w:rsidRPr="008542AD" w:rsidRDefault="00B77F70">
      <w:pPr>
        <w:rPr>
          <w:lang w:val="pl-PL"/>
        </w:rPr>
      </w:pPr>
      <w:r w:rsidRPr="008542AD">
        <w:rPr>
          <w:lang w:val="pl-PL"/>
        </w:rPr>
        <w:br w:type="page"/>
      </w:r>
    </w:p>
    <w:tbl>
      <w:tblPr>
        <w:tblW w:w="96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562"/>
        <w:gridCol w:w="569"/>
        <w:gridCol w:w="1127"/>
        <w:gridCol w:w="1226"/>
        <w:gridCol w:w="1712"/>
      </w:tblGrid>
      <w:tr w:rsidR="00404D48" w:rsidRPr="00404D48" w:rsidTr="00431DF1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pageBreakBefore/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lastRenderedPageBreak/>
              <w:t>L.p.</w:t>
            </w:r>
          </w:p>
        </w:tc>
        <w:tc>
          <w:tcPr>
            <w:tcW w:w="91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pl-PL"/>
              </w:rPr>
            </w:pPr>
            <w:r w:rsidRPr="00404D48">
              <w:rPr>
                <w:rFonts w:eastAsia="Times New Roman"/>
                <w:color w:val="000000"/>
                <w:sz w:val="22"/>
                <w:szCs w:val="22"/>
                <w:lang w:val="pl-PL"/>
              </w:rPr>
              <w:t>Oprogramowanie o następujących funkcjach lub równoważne:</w:t>
            </w:r>
          </w:p>
        </w:tc>
      </w:tr>
      <w:tr w:rsidR="00404D48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suppressLineNumbers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1.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 – 20 szt.</w:t>
            </w:r>
          </w:p>
          <w:p w:rsidR="00404D48" w:rsidRPr="00404D48" w:rsidRDefault="00404D48" w:rsidP="00404D48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4D48" w:rsidRPr="00404D48" w:rsidRDefault="00404D48" w:rsidP="00404D48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 xml:space="preserve">Oferowane oprogramowanie </w:t>
            </w:r>
            <w:bookmarkStart w:id="0" w:name="OLE_LINK6"/>
            <w:bookmarkStart w:id="1" w:name="OLE_LINK7"/>
            <w:bookmarkStart w:id="2" w:name="OLE_LINK8"/>
            <w:bookmarkStart w:id="3" w:name="OLE_LINK9"/>
            <w:r>
              <w:rPr>
                <w:rFonts w:eastAsia="Times New Roman"/>
                <w:sz w:val="20"/>
                <w:szCs w:val="20"/>
                <w:lang w:val="pl-PL"/>
              </w:rPr>
              <w:t>(pełna nazwa):</w:t>
            </w:r>
            <w:bookmarkEnd w:id="0"/>
            <w:bookmarkEnd w:id="1"/>
            <w:bookmarkEnd w:id="2"/>
            <w:bookmarkEnd w:id="3"/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4B475A" w:rsidRDefault="004B475A" w:rsidP="004B475A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Subskrypcja na urządzenia współużytkowania (pracownie komputerowe) umożliwiająca instalację oprogramowania na komputerach z system operacyjnym Windows i 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MacOs</w:t>
            </w:r>
            <w:proofErr w:type="spellEnd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.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Oprogramowanie wchodzące w skład pakietu: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edytor grafiki rastrowej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tworzenia i edycji grafiki wektorowej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projektowania publikacji drukowanych i cyfrowych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narzędzie do projektowania interfejsów użytkownika (UI) i prototypowania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profesjonalny program do edycji wideo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tworzenia efektów specjalnych i animacji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edytor dźwięku i program do miksowania audio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narzędzie do zarządzania i edycji fotografii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przeglądania i organizowania plików multimedialnych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projektowania i edycji stron internetowych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narzędzie do tworzenia animacji interaktywnych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tworzenia, edycji i podpisywania plików PDF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- narzędzie do tworzenia grafiki 3D i 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renderowania</w:t>
            </w:r>
            <w:proofErr w:type="spellEnd"/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program do animowania postaci na podstawie nagrania wideo</w:t>
            </w:r>
          </w:p>
          <w:p w:rsidR="00D878A4" w:rsidRPr="00D878A4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- zestaw narzędzi do tworzenia grafiki, filmów i stron internetowych</w:t>
            </w:r>
          </w:p>
          <w:p w:rsidR="0046083E" w:rsidRPr="00404D48" w:rsidRDefault="00D878A4" w:rsidP="00D878A4">
            <w:pPr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2. 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30 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rPr>
          <w:trHeight w:val="419"/>
        </w:trPr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957504" w:rsidRPr="00957504" w:rsidRDefault="00957504" w:rsidP="0095750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Subskrypcja oprogramowania posiadanego przez Zamawiającego pod nazwą "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Altium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Designer" (najnowsza aktualna wersja oferowana przez producenta oprogramowania z dnia składania oferty).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Początek obowiązywania subskrypcji październik 2023r.</w:t>
            </w:r>
          </w:p>
          <w:p w:rsidR="0046083E" w:rsidRPr="00404D48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b/>
                <w:bCs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3.</w:t>
            </w:r>
            <w:r w:rsidRPr="00404D48">
              <w:rPr>
                <w:rFonts w:eastAsia="Times New Roman"/>
                <w:b/>
                <w:bCs/>
                <w:sz w:val="20"/>
                <w:szCs w:val="20"/>
                <w:highlight w:val="white"/>
                <w:lang w:val="pl-PL"/>
              </w:rPr>
              <w:t xml:space="preserve">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1 pakiet.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1C4AFD" w:rsidRDefault="001C4AFD" w:rsidP="001C4AFD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Subskrypcja oprogramowania posiadanego przez Zamawiającego pod nazwą "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ArcGIS</w:t>
            </w:r>
            <w:proofErr w:type="spellEnd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 poziom 2 - dla 50 użytkowników" (najnowsza aktualna wersja oferowana przez producenta oprogramowania z dnia składania oferty).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Początek obowiązywania subskrypcji październik 2023 r.</w:t>
            </w:r>
          </w:p>
          <w:p w:rsidR="0046083E" w:rsidRPr="00404D48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4. 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1 pakiet.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Default="00D878A4" w:rsidP="00D878A4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D878A4" w:rsidRDefault="00D878A4" w:rsidP="00D878A4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Default="00D878A4" w:rsidP="00D878A4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D878A4" w:rsidRDefault="00D878A4" w:rsidP="00D878A4">
            <w:pPr>
              <w:pStyle w:val="Zawartotabeli"/>
              <w:rPr>
                <w:sz w:val="20"/>
                <w:szCs w:val="20"/>
              </w:rPr>
            </w:pPr>
          </w:p>
          <w:p w:rsidR="00D878A4" w:rsidRDefault="00D878A4" w:rsidP="00D878A4">
            <w:pPr>
              <w:pStyle w:val="Zawartotabe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</w:t>
            </w:r>
            <w:r w:rsidRPr="00957504">
              <w:rPr>
                <w:sz w:val="20"/>
                <w:szCs w:val="20"/>
              </w:rPr>
              <w:t>s</w:t>
            </w:r>
            <w:proofErr w:type="spellEnd"/>
            <w:r w:rsidRPr="00957504">
              <w:rPr>
                <w:sz w:val="20"/>
                <w:szCs w:val="20"/>
              </w:rPr>
              <w:t xml:space="preserve"> </w:t>
            </w:r>
            <w:proofErr w:type="spellStart"/>
            <w:r w:rsidRPr="00957504">
              <w:rPr>
                <w:sz w:val="20"/>
                <w:szCs w:val="20"/>
              </w:rPr>
              <w:t>rozwiązania</w:t>
            </w:r>
            <w:proofErr w:type="spellEnd"/>
            <w:r w:rsidRPr="00957504">
              <w:rPr>
                <w:sz w:val="20"/>
                <w:szCs w:val="20"/>
              </w:rPr>
              <w:t xml:space="preserve"> </w:t>
            </w:r>
            <w:proofErr w:type="spellStart"/>
            <w:r w:rsidRPr="00957504">
              <w:rPr>
                <w:sz w:val="20"/>
                <w:szCs w:val="20"/>
              </w:rPr>
              <w:t>równoważnego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Wykonawca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rozwiązanie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równoważne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D878A4" w:rsidRDefault="00D878A4" w:rsidP="00D878A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D878A4" w:rsidRDefault="00D878A4" w:rsidP="00D878A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……………………………………………………………….</w:t>
            </w:r>
          </w:p>
          <w:p w:rsidR="001C4AFD" w:rsidRDefault="00D878A4" w:rsidP="00D878A4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lastRenderedPageBreak/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Oprogramowanie pod nazwą "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Azure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DevTools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" </w:t>
            </w:r>
            <w:r>
              <w:rPr>
                <w:color w:val="000000"/>
                <w:sz w:val="21"/>
                <w:szCs w:val="21"/>
                <w:lang w:val="pl-PL"/>
              </w:rPr>
              <w:t xml:space="preserve">lub równoważne </w:t>
            </w:r>
            <w:r w:rsidRPr="00D878A4">
              <w:rPr>
                <w:color w:val="000000"/>
                <w:sz w:val="21"/>
                <w:szCs w:val="21"/>
                <w:lang w:val="pl-PL"/>
              </w:rPr>
              <w:t>(najnowsza aktualna wersja oferowana przez producenta oprogramowania z dnia składania oferty).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Początek obowiązywania subskrypcji październik 2023 r.</w:t>
            </w:r>
          </w:p>
          <w:p w:rsidR="0046083E" w:rsidRPr="00404D48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5.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20 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1C4AFD" w:rsidRDefault="001C4AFD" w:rsidP="001C4AFD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Oprogramowanie graficzne, wyposażone w zaawansowane narzędzia do tworzenia ilustracji, układu stron, edycji zdjęć.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Oprogramowanie umożliwiające projektowanie logotypów, broszur, materiałów sprzedażowych, marketingowych, szkoleniowych, plakatów i innych rodzajów prac.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Pakiet oprogramowania: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- do projektowania grafiki wektorowej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- do edycji zdjęć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– do przekształcania map bitowych w edytowalne grafiki wektorowe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- do przechwytywania obrazów z ekranu komputera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Aplikacje pomocnicze: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– pozwalające na szybkie edytowanie zdjęć w formacie RAW (wersja angielska)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– umożliwiające animowanie zdjęć (wersja angielska)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Wersja językowa: polska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Obszar zastosowań: edukacyjna, prowadzenie zajęć z zakresu grafii komputerowej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Okres licencji: bezterminowa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Platforma: na komputery stacjonarne PC.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Najnowsza aktualna wersja oferowana przez producenta oprogramowania z dnia składania oferty.</w:t>
            </w:r>
          </w:p>
          <w:p w:rsidR="0046083E" w:rsidRPr="00404D48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2 szt.</w:t>
            </w:r>
          </w:p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1C4AFD" w:rsidRDefault="001C4AFD" w:rsidP="001C4AFD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Aktualizacja oprogramowania posiadanego przez zamawiającego pod nazwą "Adobe Creative 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Cloud</w:t>
            </w:r>
            <w:proofErr w:type="spellEnd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All</w:t>
            </w:r>
            <w:proofErr w:type="spellEnd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Apps</w:t>
            </w:r>
            <w:proofErr w:type="spellEnd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 for </w:t>
            </w:r>
            <w:proofErr w:type="spellStart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Teams</w:t>
            </w:r>
            <w:proofErr w:type="spellEnd"/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 xml:space="preserve"> MULTI Win/Mac." (najnowsza aktualna wersja oferowana przez producenta oprogramowania z dnia składania oferty).</w:t>
            </w:r>
          </w:p>
          <w:p w:rsidR="0046083E" w:rsidRPr="00404D48" w:rsidRDefault="00D878A4" w:rsidP="00D878A4">
            <w:pPr>
              <w:suppressLineNumbers/>
              <w:rPr>
                <w:rFonts w:eastAsia="Times New Roman"/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rFonts w:eastAsia="Times New Roman"/>
                <w:color w:val="000000"/>
                <w:sz w:val="21"/>
                <w:szCs w:val="21"/>
                <w:lang w:val="pl-PL"/>
              </w:rPr>
              <w:t>Początek obowiązywania subskrypcji październik 2023 r.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7.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4 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Default="00D878A4" w:rsidP="00D878A4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D878A4" w:rsidRDefault="00D878A4" w:rsidP="00D878A4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Default="00D878A4" w:rsidP="00D878A4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suppressLineNumbers/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Subskrypcja oprogramowania posiadanego przez Zamawiającego pod nazwą "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MobaXterm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>" (najnowsza aktualna wersja oferowana przez producenta oprogramowania z dnia składania oferty).</w:t>
            </w:r>
          </w:p>
          <w:p w:rsidR="00D878A4" w:rsidRPr="00D878A4" w:rsidRDefault="00D878A4" w:rsidP="00D878A4">
            <w:pPr>
              <w:suppressLineNumbers/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Początek obowiązywania subskrypcji październik 2023 r.</w:t>
            </w:r>
          </w:p>
          <w:p w:rsidR="0046083E" w:rsidRPr="00404D48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23D55">
            <w:pPr>
              <w:suppressLineNumbers/>
              <w:rPr>
                <w:color w:val="000000"/>
                <w:lang w:val="pl-PL"/>
              </w:rPr>
            </w:pPr>
            <w:r w:rsidRPr="00404D48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8. </w:t>
            </w:r>
            <w:r w:rsidR="00D878A4" w:rsidRPr="00D878A4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Oprogramowanie – 1 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color w:val="000000"/>
                <w:lang w:val="pl-PL"/>
              </w:rPr>
            </w:pPr>
            <w:r w:rsidRPr="00404D48">
              <w:rPr>
                <w:rFonts w:eastAsia="Times New Roman"/>
                <w:color w:val="000000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color w:val="000000"/>
                <w:lang w:val="pl-PL"/>
              </w:rPr>
            </w:pPr>
            <w:r w:rsidRPr="00404D48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color w:val="000000"/>
                <w:lang w:val="pl-PL"/>
              </w:rPr>
            </w:pPr>
            <w:r w:rsidRPr="00404D48">
              <w:rPr>
                <w:rFonts w:eastAsia="Times New Roman"/>
                <w:color w:val="000000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color w:val="000000"/>
                <w:lang w:val="pl-PL"/>
              </w:rPr>
            </w:pPr>
            <w:r w:rsidRPr="00404D48">
              <w:rPr>
                <w:rFonts w:eastAsia="Times New Roman"/>
                <w:color w:val="000000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4B475A" w:rsidRDefault="004B475A" w:rsidP="004B475A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color w:val="000000"/>
                <w:lang w:val="pl-PL"/>
              </w:rPr>
            </w:pPr>
            <w:r w:rsidRPr="00404D48">
              <w:rPr>
                <w:rFonts w:eastAsia="Times New Roman"/>
                <w:color w:val="000000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lastRenderedPageBreak/>
              <w:t>Subskrypcja na 12 miesięcy.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Platforma: na komputery stacjonarne PC.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Subskrypcja na użytkownika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Wersja wielojęzykowa.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Początek obowiązywania subskrypcji wrzesień 2023 r.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Oprogramowanie do 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remapowania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 samochodów.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Identyfikacja i indeksacja tabel kalibracyjnych jednostek sterujących silnika (ECU) i jednostek sterujących skrzyń biegów (TCU).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Moduły do usuwania DTC, sum kontrolnych, natychmiastowych rozwiązań i automatycznego rozpoznawania map.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Możliwość usuwania lub modyfikowania krzywych ECU i TCU.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Wizualizację map 2D i 3D.</w:t>
            </w:r>
          </w:p>
          <w:p w:rsidR="00D878A4" w:rsidRPr="00D878A4" w:rsidRDefault="00D878A4" w:rsidP="00D878A4">
            <w:pPr>
              <w:rPr>
                <w:color w:val="000000"/>
                <w:sz w:val="21"/>
                <w:szCs w:val="21"/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Automatycznie wykrywanie mapy elektroniki pojazdu (Bosch, Siemens, Delphi, 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Temic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, 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Luca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 xml:space="preserve">, </w:t>
            </w:r>
            <w:proofErr w:type="spellStart"/>
            <w:r w:rsidRPr="00D878A4">
              <w:rPr>
                <w:color w:val="000000"/>
                <w:sz w:val="21"/>
                <w:szCs w:val="21"/>
                <w:lang w:val="pl-PL"/>
              </w:rPr>
              <w:t>Visteon</w:t>
            </w:r>
            <w:proofErr w:type="spellEnd"/>
            <w:r w:rsidRPr="00D878A4">
              <w:rPr>
                <w:color w:val="000000"/>
                <w:sz w:val="21"/>
                <w:szCs w:val="21"/>
                <w:lang w:val="pl-PL"/>
              </w:rPr>
              <w:t>, Motorola itp.)</w:t>
            </w:r>
          </w:p>
          <w:p w:rsidR="0046083E" w:rsidRPr="00404D48" w:rsidRDefault="00D878A4" w:rsidP="00D878A4">
            <w:pPr>
              <w:suppressLineNumbers/>
              <w:rPr>
                <w:lang w:val="pl-PL"/>
              </w:rPr>
            </w:pPr>
            <w:r w:rsidRPr="00D878A4">
              <w:rPr>
                <w:color w:val="000000"/>
                <w:sz w:val="21"/>
                <w:szCs w:val="21"/>
                <w:lang w:val="pl-PL"/>
              </w:rPr>
              <w:t>Wymagana instalacja i konfiguracja oprogramowania na sprzęcie wskazanym przez Zamawiającego.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23D55" w:rsidP="00A611B3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9</w:t>
            </w:r>
            <w:r w:rsidR="0046083E"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Oprogramowanie – </w:t>
            </w:r>
            <w:r w:rsidR="00A611B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1 </w:t>
            </w:r>
            <w:r w:rsidR="00D878A4"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46083E" w:rsidRPr="00404D48" w:rsidTr="00431DF1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Default="0046083E" w:rsidP="0046083E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46083E" w:rsidRDefault="0046083E" w:rsidP="0046083E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4A4C3A" w:rsidRDefault="004A4C3A" w:rsidP="004A4C3A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083E" w:rsidRPr="00404D48" w:rsidRDefault="0046083E" w:rsidP="0046083E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46083E" w:rsidRPr="00404D48" w:rsidTr="00431DF1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Subskrypcja na 12 miesięcy.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Subskrypcja oprogramowania posiadanego przez Zamawiającego pod nazwą "WAPRO Mag Prestiż Plus" (najnowsza aktualna wersja oferowana przez producenta oprogramowania z dnia składania oferty).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Początek obowiązywania subskrypcji październik 2023 r.</w:t>
            </w:r>
          </w:p>
          <w:p w:rsidR="0046083E" w:rsidRPr="00404D48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Wymagana instalacja i konfiguracja oprogramowania na sprzęcie wskazanym przez Zamawiającego.</w:t>
            </w:r>
          </w:p>
        </w:tc>
      </w:tr>
      <w:tr w:rsidR="00D878A4" w:rsidRPr="00404D48" w:rsidTr="00CD7CA7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10</w:t>
            </w: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A611B3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800</w:t>
            </w:r>
            <w:bookmarkStart w:id="4" w:name="_GoBack"/>
            <w:bookmarkEnd w:id="4"/>
            <w:r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D878A4" w:rsidRPr="00404D48" w:rsidTr="00CD7CA7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Default="00D878A4" w:rsidP="00CD7CA7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D878A4" w:rsidRDefault="00D878A4" w:rsidP="00CD7CA7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Default="00D878A4" w:rsidP="00CD7CA7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D878A4" w:rsidRDefault="00D878A4" w:rsidP="00CD7CA7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878A4" w:rsidRPr="00404D48" w:rsidTr="00CD7CA7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Opis systemu ochrony antywirusowej z zaporą ogniową dla stacji roboczych.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Ochrona antywirusowa stacji roboczych wspiera następujące systemy operacyjne: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7 SP1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8.1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10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11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Ochrona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antymalware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Ochrona realizowana jest na wielu poziomach tj. na poziomie plików, sieci i urządzeń zewnętrznych.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Rozwiązanie wyposażone jest w mechanizmy do wykrywania różnego typu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malware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, w tym m.in.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ransomware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, koni trojańskich, robaków, wirusów itp.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wyposażone jest w silnik skanujący do wykrywania niepożądanych aplikacji takich jak oprogramowanie typu spyware i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riskware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Aktualizacje baz definicji wirusów dostępne są 24h na dobę na serwerze producenta, możliwa jest zarówno aktualizacja automatyczna programu oraz na żądanie przez wywołanie funkcji w interfejsie lokalnym oprogramowania.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System posiada możliwość dystrybuowania aktualizacji baz definicji wirusów, aktualizacji oprogramowania zainstalowanego na stacji końcowej oraz polityk bezpieczeństwa za pomocą serwera pośredniczącego. Serwer pośredniczący pobiera aktualizacje oprogramowania, jak i bazy antywirusowe, z serwerów producenta, a następnie dystrybuuje je w sieci lokalnej.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Rozwiązanie umożliwia wywołanie skanowania na żądanie lub według harmonogramu ustalonego przez administratorów dla określonych grup klientów, za pomocą centralnej konsoli lub lokalnie przez określonego klienta.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Rozwiązanie posiada możliwość wywołania skanowania w określone dni i godziny tygodnia i miesiąca, a także po określonym czasie bezczynności komputera.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Rozwiązanie pozwala na wywołania skanowania po uruchomieniu systemu operacyjnego oraz po zalogowaniu użytkownika.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Rozwiązanie posiada możliwość wywołania procesu skanowania z niskim priorytetem, co pozwala na skanowanie z użyciem mniejszej ilości zasobów systemowych.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10. Rozwiązanie posiada możliwość wywołania skanowania wszystkich plików, tylko określnych rozszerzeń plików </w:t>
            </w: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>a także ich wykluczanie.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11. Rozwiązanie posiada możliwość skanowania dysków przenośnych takich jak pendrive, dyski zewnętrzne, czy dyski sieciowe.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12. Rozwiązanie pozwala na skanowanie na żądanie pojedynczych plików, katalogów, napędów przy pomocy skrótu w menu kontekstowym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13. Aktualizacja definicji wirusów czy też mechanizmów skanujących nie wymaga zatrzymania procesu skanowania na jakimkolwiek systemie.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14. Rozwiązanie wykorzystuje przyrostowe (inkrementalne) pobieranie nowych definicji wirusów i mechanizmów skanujących bez konieczności pobierania całej bazy (na stację kliencką pobierane są tylko definicje, które przybyły od momentu ostatniej aktualizacji).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15. Uaktualnienia definicji wirusów posiadają podpis cyfrowy, którego sprawdzenie gwarantuje, że pliki te nie zostały zmienione.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16. Rozwiązanie nie wymaga restartu systemu operacyjnego po dokonaniu aktualizacji mechanizmów skanujących i definicji wirusów.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17. Rozwiązanie wykorzystuje w swoim działaniu heurystyczną technologię do wykrywania nowych, nieznanych wirusów.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18. Rozwiązanie pozwala na wykrywanie niepożądanych aplikacji takich jak oprogramowanie typu „spyware", „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adware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", „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keylogger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”, „dialer”, „trojan”, „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rootkit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” oraz ataki typu 0-day.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19. Rozwiązanie wykorzystuje mechanizm wykrywania nowych i nieznanych zagrożeń (0-day), analizujący podejrzane pliki wykonywalne.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20. Rozwiązanie pozwala na skanowanie plików skompresowanych obejmujące najpopularniejsze formaty w tym, co najmniej: ZIP JAR ARJ LZH TAR TGZ GZ CAB RAR BZ2 HQX.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21. Skaner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antymalware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pozwala na integrację z AMSI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22. Ochrona plików w czasie rzeczywistym pozwala na wykluczenie ze skanowania procesów.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23. Funkcja skanowania dysków sieciowych pozwala na skanowanie wszystkich plików, do których uzyskiwany jest dostęp lub tylko plików wykonywanych z takich zasobów.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24. Użytkownik ma możliwość uwolnienia pliku poddanego kwarantannie.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25. Uwolnienie pliku z kwarantanny odbywa się po podaniu hasła ustalonego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26. W przypadku wykrycia szkodliwego pliku rozwiązanie umożliwia pojęcie akcji automatycznej kwarantanny pliku, automatycznego leczenia, automatycznego usunięcia pliku, automatycznej zmiany nazwy pliku, tylko zgłoszenia infekcji lub podjęcia decyzji przez użytkownika.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27. Administrator posiada możliwość określenia reakcji silnika skanującego w odniesieniu do typu wykrytego zagrożenia.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28. Osobny typ reakcji może być określny dla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malware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riskware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i spyware.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29. Rozwiązanie zawiera funkcje logowania historii akcji podejmowanych wobec wykrytych zagrożeń na stacjach roboczych. Dostęp do logów możliwy jest z poziomu GUI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30. Rozwiązanie automatycznie powiadamia użytkowników oraz administratora o pojawiających się zagrożeniach wraz z określeniem czy stacja robocza jest odpowiednio zabezpieczona.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31. Administrator ma możliwość wyłączenia powiadomień dla użytkowników stacji końcowej o wykrytych zagrożeniach.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Ochrona ruchu HTTP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skanuje na komputerze klienckim, dane pobierane i wysyłane przy pomocy protokołu http.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Administrator posiada możliwość blokowania na komputerze klienckim określonego rodzaju zawartości, nazwy lub rozszerzeń poszczególnych plików pobieranych przy pomocy protokołu http z witryn o nieokreślonej reputacji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realizuję ochronę podczas przeglądania sieci Internet na podstawie badania reputacji witryn.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Rozwiązanie pozwala na graficzną informację dotycząca reputacji witryn wyświetlanych w wynikach wyszukiwania za pomocą wyszukiwarek takich jak Google, Bing.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Rozwiązanie zabezpiecza połączenia do witryn skategoryzowanych przez producenta jako ‘bankowość elektroniczna’ poprzez uniemożliwienie nawiązania nowych sesji do niezaufanych hostów na czas połączenia np. z witryną banku.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Kontrola połączenia umożliwia zabezpieczenie sesji do dowolnej witryny HTTPS wskazanej przez administratora poprzez uniemożliwienie nawiązania nowych sesji do niezaufanych hostów na czas połączenia z daną witryną HTTPS.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Rozwiązanie posiada możliwość zablokowania uruchamiania narzędzi skryptowych i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commandline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podczas wyświetlania witryn określonych jako bankowość internetowa.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Rozwiązanie posiada możliwość usuwania zawartości schowka systemowego podczas zakończenia sesji z witrynami związanymi z bankowością online.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Rozwiązanie posiada możliwość blokowania narzędzi dostępu zdalnego podczas korzystania z witryn określonych jako bankowość internetowa lub określonych na liście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Kontrola aplikacji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wbudowany mechanizm kontroli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 xml:space="preserve">    2. Administrator ma możliwość blokowania uruchomienia aplikacji na stacji końcowej.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Blokowanie możliwości uruchomienia aplikacji na stacji końcowej umożliwia identyfikację aplikacji, co najmniej na podstawie identyfikatora SHA1, SHA256, nazwy pliku, nazwy produktu, wydawcy, wersji pliku.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Mechanizm kontroli aplikacji pozwala na kontrolę co najmniej zdarzeń takich jak, uruchamianie aplikacji, uruchamianie instalacji, uruchamianie procesu, ładowania biblioteki dynamicznej, dostępu do pliku.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Mechanizm kontroli aplikacji pozwala na tworzenie wielu profili i stosowania ich w zależności od potrzeb.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Mechanizm kontroli aplikacji pozwala na ustawienie domyślnej akcji w tym zezwolenia, zablokowania, zgłoszenia dla uruchamianych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Zapora sieciowa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możliwość zarządzania zaporą ogniową (tzw.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personal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firewall) wbudowaną w system Windows, z możliwością definiowania profili bezpieczeństwa możliwych do przypisania dla pojedynczej stacji roboczej lub grup.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Mechanizm kontroli zapory ogniowej posiada wbudowane predefiniowane profile.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Profile bezpieczeństwa zapory ogniowej zawierają predefiniowane reguły zezwalające na bezproblemową komunikację w sieci lokalnej.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 posiada możliwość określenia domyślnej reakcji dla nieznanej komunikacji sieciowej dla ruchu przychodzącego i wychodzącego.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Jako domyślne akcje dla nieznanego ruchu sieciowego rozwiązanie pozwala określić blokowanie lub zezwolenie na taką komunikację.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Administrator posiada możliwość stworzenia reguł stosowanych w przypadku aktywacji izolacji hosta od sieci.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Kontrola www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funkcję blokowania dostępu do kategorii witryn WWW skatalogowanych przez systemy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reputacyjne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producenta bez konieczności ręcznego wpisywania poszczególnych adresów.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Oprogramowanie zapewnia co najmniej 30 kategorii witryn WWW.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Użytkownik podczas próby przejścia na witrynę znajdująca się w zablokowanej przez Administratora kategorii, jest powiadomiony o nałożonej na niego blokadzie komunikatem w przeglądarce internetowej.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Rozwiązanie posiada możliwość blokowania witryn na podstawie kategorii zarówno dla protokołu HTTP jak i HTTPS.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Software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updater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wbudowany moduł aktualizacji aplikacji firm trzecich, który okresowo skanuje aplikacje zainstalowane na stacji roboczej i umożliwia ich aktualizację do najnowszych wersji.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Moduł aktualizacji aplikacji pełni rolę programu łatającego podatności i instalującego aktualizacje oprogramowania, a nie pasywnego skanera luk w bezpieczeństwie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Administrator ma możliwość zdefiniowania aplikacji, które nie podlegają aktualizacji.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Dodanie aplikacji wykluczonych z aktualizacji odbywa się na podstawie nazwy aplikacji, ID biuletynu oraz dostawcy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System centralnego zarządzania pozwala prezentować niezaktualizowane aplikacje na komputerach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Mechanizm aktualizacji oprogramowania firm trzecich nie wymaga instalowania dodatkowych agentów oprócz agenta EPP.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Mechanizm aktualizacji oprogramowania firm trzecich pozwala na wymuszenie instalacji aktualizacji w sposób akcji wymuszonej z poziomu interfejsu zarządzania lub reguły harmonogramu wykonującej się w sposób zaplanowany konkretnego dnia i o konkretnej godzinie.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W przypadku gdy aktualizacja oprogramowania nie mogła się wykonać zgodnie z harmonogramem, zadanie instalacji może być uruchomione w najbliższym możliwym terminie z pominięciem harmonogramu.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W przypadku gdy aplikacja musi zostać zamknięta przed procesem aktualizacji administrator ma możliwość określenia czy ma się to odbyć automatycznie – bez wiedzy użytkownika, czy też ma się wyświetlić odpowiedni komunikat użytkownikowi z informacją o konieczności zamknięcia obecnie uruchomionej aplikacji wymagającej aktualizacji.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10. Administrator konsoli zarządzającej ma możliwości zapoznania się z opisem danej podatności aplikacji uruchamiając aktywny link z konsoli zarządzającej z przekierowaniem na strony producenta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11. Administrator posiada możliwość skonfigurowania instalacji automatycznej aktualizacji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Kontrola nośników zewnętrznych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Oprogramowanie umożliwia blokowanie lub zezwalanie na dostęp do wybranych przez administratora urządzeń zewnętrznych podłączanych do stacji końcowej.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Oprogramowanie umożliwia zdefiniowanie listy zaufanych urządzeń, które nie będą blokowane podczas podłączanie do stacji końcowej.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pozwala na nałożenie blokady zapisywania plików na zewnętrznych nośnikach pamięci (tryb tylko do odczytu).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 xml:space="preserve">    4. Rozwiązanie pozwala na blokadę uruchamiania oprogramowania z dysków zewnętrznych, jednocześnie blokada ta umożliwia korzystanie z pozostałych danych zapisanych na takich dyskach.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Administrator jest informowany o podłączanych do chronionych systemów urządzeniach zewnętrznych.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Informacja o podłączanych urządzeniach zewnętrznych dotyczy wszystkich urządzeń lub tylko nowych.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Zaawansowana ochrona przed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ransomware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Oprogramowanie posiada dodatkowy moduł chroniący dane użytkownika przed działaniem oprogramowania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ransomware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Działanie modułu polega na ograniczeniu możliwości modyfikowania chronionych plików, tylko procesom systemowym oraz zaufanym aplikacjom.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Administrator posiada możliwość określenia folderów, które mają zostać objęte dodatkową ochroną przed modyfikacją.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 posiada możliwość określenia domyślnej reakcji na próby modyfikowania plików w chronionych folderach zezwalając na taką modyfikację lub blokowanie.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Rozwiązanie posiada możliwość zdefiniowania zaufanych folderów. Aplikacje uruchamiane z zaufanych folderów mają możliwość modyfikowania plików objętych dodatkową ochroną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antyransomware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Dodatkowe funkcje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Instalator oprogramowania na stacji końcowej posiada możliwość sprawdzenia istnienia poprzednich wersji oprogramowania oraz oprogramowania uniemożliwiającego poprawne działanie klienta.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W przypadku znalezienia oprogramowania uniemożliwiającego poprawne działanie klienta, instalator informuje o tym fakcie użytkownika i w razie akceptacji pozwala usunąć takie oprogramowanie.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Administrator posiada możliwość zdefiniowania automatycznego procesu usuwania programowania uniemożliwiającego poprawne działanie klienta, bez informowania użytkownika końcowego.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 posiada możliwość zablokowania deinstalacji aplikacji chroniącej przez użytkownika końcowego.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Deinstalacja aplikacji może odbyć się po podaniu hasła skonfigurowanego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Administrator ma możliwość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granularnego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zablokowania zmiany konfiguracji przez użytkownika końcowego dla poszczególnych modułów ochrony oraz dostępnych funkcji aplikacji chroniącej.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Ochrona urządzeń Mac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Ochrona antywirusowa komputerów komunikuje się z systemem centralnego zarządzania.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Oprogramowanie  jest kompatybilne z następującymi systemami operacyjnymi: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mac OS 11 Big Sur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mac OS 10.15 Catalina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mac OS 10.14 Mojave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Oprogramowanie zapewnia ochronę plików w czasie rzeczywistym, skanowania zgodnie z ustalonym harmonogramem.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Pozwala na tworzenie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wykluczeń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ze skanowania.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Pozwala na aktywację mechanizmu zapory ogniowej.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Posiada moduł ochrony przeglądania stron internetowych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Opis systemu centralnego zarządzania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System centralnego zarządzania może być zainstalowany na wersjach serwerowych systemów Microsoft Windows lub Linux.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Instalacja sytemu centralnego zarządzania dla Microsoft Windows wspiera następujące wersje systemów operacyjnych: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2012 (Essentials, Standard, Datacenter)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2012 R2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2016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2019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2022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Instalacja sytemu centralnego zarządzania dla Linux wspiera następujące 64 bitowe wersje systemów operacyjnych: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Red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Hat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Enterprise Linux 6,7,8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CentOS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7, 8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SuSE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Linux Enterprise Server 11, 12, 15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SuSE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Linux Enterprise Desktop 11, 12, 15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Debian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GNU Linux 9, 10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Ubuntu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16.04, 18.04, 20.04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Pełna administracja konfiguracją i monitorowanie stacji roboczych i serwerów plików za pomocą konsoli administracyjnej.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Komunikacja pomiędzy serwerem centralnego zarządzania a stacjami roboczymi jest zaszyfrowana.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pozwala na scentralizowane blokowanie i odblokowywanie dostępu użytkownika do zmian konfiguracyjnych oprogramowania klienckiego, konsola pozwala na zdalne zarządzanie wszystkimi ustawieniami klienta.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Administratorzy mają możliwość tworzenia logicznych grup klientów i serwerów, w celu zarządzania oraz wymuszania określonych dla grupy zasad bezpieczeństwa.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Centralna konsola administracyjna umożliwia przenoszenie klientów z jednej grupy do drugiej z możliwością zachowania ustawień lub dziedziczenia ustawień grupy.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Rozwiązanie pozwala na tworzenie grup, zdalne instalowanie oprogramowania oraz wymuszanie stosowania określonych zasad i ustawień na klientach.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Rozwiązanie pozwala na import struktury drzewa z Microsoft Active Directory.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Rozwiązanie pozwala na tworzenie reguł synchronizacji z Microsoft Active Directory umożliwiających automatyczną synchronizację klientów z aktualnie istniejącymi grupami komputerów.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Rozwiązanie pozwala na tworzenie reguł powiadamiania o nowych, niezarządzanych klientach w Microsoft Active Directory.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10. Rozwiązanie pozwala na blokowanie wszystkich ustawień konfiguracyjnych stacji roboczych w celu uniemożliwienia ich modyfikacji przez użytkowników.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11. Rozwiązanie pozwala na zdefiniowania hasła do odinstalowania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12. Rozwiązanie pozwala na definiowania harmonogramów lub częstotliwości automatycznego pobierania aktualizacji definicji wirusów.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13. Rozwiązanie posiada możliwość instalacji i konfiguracji wewnętrznego serwera aktualizacji, łączącego się z serwerem aktualizacji producenta i aktualizacja serwerów, serwera zarządzającego oraz stacji roboczych z wewnętrznego serwera aktualizacji.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14. Funkcja przechowywania i przekazywania danych umożliwiająca przechowywanie przez klientów danych dotyczących zdarzeń, w sytuacji, jeśli nie mogą oni uzyskać połączenia z serwerem zarządzania. Dane muszą być przesyłane do serwera zarządzania podczas kolejnego połączenia.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15. Rozwiązanie pozwala na konfigurację włączania/wyłączania wyświetlania komunikatów o znalezionych wirusach na wybranych stacjach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16. Rozwiązanie umożliwia administratorom na audyt sieci, polegający na wykryciu niechronionych węzłów narażonych na ataki.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17. Rozwiązanie pozwala na eksport raportów z pracy systemu do pliku HTML.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18. Rozwiązanie daje możliwość natychmiastowej aktualizacji przez serwer definicji wirusów na stacjach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19. Rozwiązanie posiada dedykowany system raportowania dostępny przez przeglądarkę internetową umożliwiający podgląd statystyk dotyczących wykrytych wirusów, przeprowadzonych ataków, zainstalowanego oprogramowania oraz statystyk połączenia stacji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20. System raportowania umożliwia wysyłanie raportów poprzez pocztę elektroniczną zgodnie z harmonogramem określonym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21. Zarządzanie zdarzeniami i raportowanie pozwala na natychmiastowe alarmowanie o aktywności wirusów w administrowanej sieci na kilka sposobów: poczta elektroniczna, powiadomienia przez SNMP, raportowanie do dziennika systemowego, raportowanie do systemu centralnego zarządzania.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22. Rozwiązanie daje możliwość przekierowania alertów bezpośrednio do serwera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Syslog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23. Rozwiązanie umożliwia tworzenie wielu kont dostępu do systemu centralnego zarządzania dla różnych użytkowników (w tym możliwość nadaniu danemu użytkownikowi ograniczonych praw).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24. Rozwiązanie umożliwia wykonanie pełnej kopii bazy danych systemu zarządzania centralnego bez konieczności ręcznego wyłączania programu.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25. Wykonywanie automatycznej kopii bazy danych systemu zarządzania centralnego może odbywać się zgodnie z harmonogramem określonym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26. Administrator posiada możliwość określenia liczby kopii bazy danych, jaka będzie przetrzymywana przez automatyczny system tworzenia kopii zapasowej.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27. Rozwiązanie posiada możliwość wygenerowania danych diagnostycznych z podpiętych komputerów za pomocą konsoli zarządzającej.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28. Rozwiązanie posiada możliwość bezpośredniego pobrania z komputera danych diagnostycznych z poziomu konsoli zarządzającej.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29. Administrator posiada możliwość komentowania stosowanej konfiguracji stacji końcowych za pomocą notatek umieszczonych w interfejsie graficznym konsoli zarządzającej.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 xml:space="preserve">    30. Konsola wyposażona jest w panel kontrolny zawierający podstawowe informacje dotyczące obecnego stanu chronionego środowiska.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31. System zarządzania pozwala na tworzenie profili w zależności od systemu operacyjnego i wersji wykorzystywanego w organizacji oprogramowania służącego ochronie.</w:t>
            </w:r>
          </w:p>
          <w:p w:rsidR="00D878A4" w:rsidRPr="00404D48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Wymagana instalacja i konfiguracja oprogramowania na sprzęcie wskazanym przez Zamawiającego.</w:t>
            </w:r>
          </w:p>
        </w:tc>
      </w:tr>
      <w:tr w:rsidR="00D878A4" w:rsidRPr="00404D48" w:rsidTr="00CD7CA7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lastRenderedPageBreak/>
              <w:t>11</w:t>
            </w:r>
            <w:r w:rsidRPr="00404D4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D878A4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Oprogramowanie – 25 szt.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VAT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Wartość brutto</w:t>
            </w:r>
          </w:p>
        </w:tc>
      </w:tr>
      <w:tr w:rsidR="00D878A4" w:rsidRPr="00404D48" w:rsidTr="00CD7CA7">
        <w:tc>
          <w:tcPr>
            <w:tcW w:w="50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Default="00D878A4" w:rsidP="00CD7CA7">
            <w:pPr>
              <w:pStyle w:val="Zawartotabeli"/>
              <w:rPr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Oferowane oprogramowanie (pełna nazwa):</w:t>
            </w:r>
          </w:p>
          <w:p w:rsidR="00D878A4" w:rsidRDefault="00D878A4" w:rsidP="00CD7CA7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Default="00D878A4" w:rsidP="00CD7CA7">
            <w:pPr>
              <w:pStyle w:val="Zawartotabeli"/>
              <w:rPr>
                <w:rFonts w:eastAsia="Times New Roman"/>
                <w:sz w:val="20"/>
                <w:szCs w:val="20"/>
                <w:lang w:val="pl-PL"/>
              </w:rPr>
            </w:pPr>
            <w:r>
              <w:rPr>
                <w:rFonts w:eastAsia="Times New Roman"/>
                <w:sz w:val="20"/>
                <w:szCs w:val="20"/>
                <w:lang w:val="pl-PL"/>
              </w:rPr>
              <w:t>.........................................................................</w:t>
            </w:r>
          </w:p>
          <w:p w:rsidR="00D878A4" w:rsidRDefault="00D878A4" w:rsidP="00CD7CA7">
            <w:pPr>
              <w:pStyle w:val="Zawartotabeli"/>
              <w:rPr>
                <w:sz w:val="20"/>
                <w:szCs w:val="20"/>
                <w:lang w:val="pl-PL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404D48">
              <w:rPr>
                <w:rFonts w:eastAsia="Times New Roman"/>
                <w:sz w:val="20"/>
                <w:szCs w:val="20"/>
                <w:lang w:val="pl-PL"/>
              </w:rPr>
              <w:t>23 %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404D48" w:rsidRDefault="00D878A4" w:rsidP="00CD7CA7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</w:tc>
      </w:tr>
      <w:tr w:rsidR="00D878A4" w:rsidRPr="00404D48" w:rsidTr="00CD7CA7"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Opis systemu ochrony antywirusowej z zaporą ogniową dla serwerów.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Ochrona antywirusowa serwerów wspiera następujące systemy operacyjne: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Small Business Server 2011, Standard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edition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Small Business Server 2011, Essentials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2012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2012 Essentials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2012 R2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2012 R2 Essentials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2012 R2 Foundation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2016 Standard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2016 Essentials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2016 Datacenter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2016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Core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2019 Standard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2019 Essentials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2019 Datacenter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2019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Core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Server 2022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Dodatkowo wspierane serwery terminalowe: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Microsoft Windows Terminal/RDP Services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Citrix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XenApp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5.0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Citrix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XenApp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6.0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Citrix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XenApp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6.5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Citrix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XenApp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7.5, 7.6, 7.14, 7.15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Ochrona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antymalware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Ochrona realizowana jest na wielu poziomach tj. na poziomie plików, sieci i urządzeń zewnętrznych.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Rozwiązanie wyposażone jest w mechanizmy do wykrywania różnego typu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malware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, w tym m.in.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ransomware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, koni trojańskich, robaków, wirusów itp.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wyposażone jest w silnik skanujący do wykrywania niepożądanych aplikacji takich jak oprogramowanie typu spyware i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riskware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Aktualizacje baz definicji wirusów dostępne są 24h na dobę na serwerze producenta, możliwa jest zarówno aktualizacja automatyczna programu oraz na żądanie przez wywołanie funkcji w interfejsie lokalnym oprogramowania.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System posiada możliwość dystrybuowania aktualizacji baz definicji wirusów, aktualizacji oprogramowania zainstalowanego na stacji końcowej oraz polityk bezpieczeństwa za pomocą serwera pośredniczącego. Serwer pośredniczący pobiera aktualizacje oprogramowania, jak i bazy antywirusowe, z serwerów producenta, a następnie dystrybuuje je w sieci lokalnej.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Rozwiązanie umożliwia wywołanie skanowania na żądanie lub według harmonogramu ustalonego przez administratorów dla określonych grup klientów, za pomocą centralnej konsoli lub lokalnie przez określonego klienta.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Rozwiązanie posiada możliwość wywołania skanowania w określone dni i godziny tygodnia i miesiąca, a także po określonym czasie bezczynności komputera.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Rozwiązanie pozwala na wywołania skanowania po uruchomieniu systemu operacyjnego oraz po zalogowaniu użytkownika.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Rozwiązanie posiada możliwość wywołania procesu skanowania z niskim priorytetem, co pozwala na skanowanie z użyciem mniejszej ilości zasobów systemowych.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10. Rozwiązanie posiada możliwość wywołania skanowania wszystkich plików, tylko określnych rozszerzeń plików a także ich wykluczanie.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11. Rozwiązanie posiada możliwość skanowania dysków przenośnych takich jak pendrive, dyski zewnętrzne, czy </w:t>
            </w: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>dyski sieciowe.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12. Rozwiązanie pozwala na skanowanie na żądanie pojedynczych plików, katalogów, napędów przy pomocy skrótu w menu kontekstowym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13. Aktualizacja definicji wirusów czy też mechanizmów skanujących nie wymaga zatrzymania procesu skanowania na jakimkolwiek systemie.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14. Rozwiązanie wykorzystuje przyrostowe (inkrementalne) pobieranie nowych definicji wirusów i mechanizmów skanujących bez konieczności pobierania całej bazy (na stację kliencką pobierane są tylko definicje, które przybyły od momentu ostatniej aktualizacji).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15. Uaktualnienia definicji wirusów posiadają podpis cyfrowy, którego sprawdzenie gwarantuje, że pliki te nie zostały zmienione.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16. Rozwiązanie nie wymaga restartu systemu operacyjnego po dokonaniu aktualizacji mechanizmów skanujących i definicji wirusów.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17. Rozwiązanie wykorzystuje w swoim działaniu heurystyczną technologię do wykrywania nowych, nieznanych wirusów.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18. Rozwiązanie pozwala na wykrywanie niepożądanych aplikacji takich jak oprogramowanie typu „spyware", „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adware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", „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keylogger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”, „dialer”, „trojan”, „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rootkit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” oraz ataki typu 0-day.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19. Rozwiązanie wykorzystuje mechanizm wykrywania nowych i nieznanych zagrożeń (0-day), analizujący podejrzane pliki wykonywalne.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20. Rozwiązanie pozwala na skanowanie plików skompresowanych obejmujące najpopularniejsze formaty w tym, co najmniej: ZIP JAR ARJ LZH TAR TGZ GZ CAB RAR BZ2 HQX.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21. Skaner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antymalware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pozwala na integrację z AMSI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22. Ochrona plików w czasie rzeczywistym pozwala na wykluczenie ze skanowania procesów.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23. Funkcja skanowania dysków sieciowych pozwala na skanowanie wszystkich plików, do których uzyskiwany jest dostęp lub tylko plików wykonywanych z takich zasobów.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24. Użytkownik ma możliwość uwolnienia pliku poddanego kwarantannie.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25. Uwolnienie pliku z kwarantanny odbywa się po podaniu hasła ustalonego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26. W przypadku wykrycia szkodliwego pliku rozwiązanie umożliwia pojęcie akcji automatycznej kwarantanny pliku, automatycznego leczenia, automatycznego usunięcia pliku, automatycznej zmiany nazwy pliku, tylko zgłoszenia infekcji lub podjęcia decyzji przez użytkownika.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27. Administrator posiada możliwość określenia reakcji silnika skanującego w odniesieniu do typu wykrytego zagrożenia.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28. Osobny typ reakcji może być określny dla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malware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riskware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i spyware.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29. Rozwiązanie zawiera funkcje logowania historii akcji podejmowanych wobec wykrytych zagrożeń na stacjach roboczych. Dostęp do logów możliwy jest z poziomu GUI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30. Rozwiązanie automatycznie powiadamia użytkowników oraz administratora o pojawiających się zagrożeniach wraz z określeniem czy stacja robocza jest odpowiednio zabezpieczona.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31. Administrator ma możliwość wyłączenia powiadomień dla użytkowników stacji końcowej o wykrytych zagrożeniach.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Ochrona ruchu HTTP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skanuje na komputerze klienckim, dane pobierane i wysyłane przy pomocy protokołu http.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Administrator posiada możliwość blokowania na komputerze klienckim określonego rodzaju zawartości, nazwy lub rozszerzeń poszczególnych plików pobieranych przy pomocy protokołu http z witryn o nieokreślonej reputacji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realizuję ochronę podczas przeglądania sieci Internet na podstawie badania reputacji witryn.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Rozwiązanie pozwala na graficzną informację dotycząca reputacji witryn wyświetlanych w wynikach wyszukiwania za pomocą wyszukiwarek takich jak Google, Bing.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Rozwiązanie zabezpiecza połączenia do witryn skategoryzowanych przez producenta jako ‘bankowość elektroniczna’ poprzez uniemożliwienie nawiązania nowych sesji do niezaufanych hostów na czas połączenia np. z witryną banku.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Kontrola połączenia umożliwia zabezpieczenie sesji do dowolnej witryny HTTPS wskazanej przez administratora poprzez uniemożliwienie nawiązania nowych sesji do niezaufanych hostów na czas połączenia z daną witryną HTTPS.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Rozwiązanie posiada możliwość zablokowania uruchamiania narzędzi skryptowych i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commandline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podczas wyświetlania witryn określonych jako bankowość internetowa.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Rozwiązanie posiada możliwość usuwania zawartości schowka systemowego podczas zakończenia sesji z witrynami związanymi z bankowością online.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Rozwiązanie posiada możliwość blokowania narzędzi dostępu zdalnego podczas korzystania z witryn określonych jako bankowość internetowa lub określonych na liście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Kontrola aplikacji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wbudowany mechanizm kontroli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Administrator ma możliwość blokowania uruchomienia aplikacji na stacji końcowej.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Blokowanie możliwości uruchomienia aplikacji na stacji końcowej umożliwia identyfikację aplikacji, co najmniej </w:t>
            </w: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>na podstawie identyfikatora SHA1, SHA256, nazwy pliku, nazwy produktu, wydawcy, wersji pliku.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Mechanizm kontroli aplikacji pozwala na kontrolę co najmniej zdarzeń takich jak, uruchamianie aplikacji, uruchamianie instalacji, uruchamianie procesu, ładowania biblioteki dynamicznej, dostępu do pliku.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Mechanizm kontroli aplikacji pozwala na tworzenie wielu profili i stosowania ich w zależności od potrzeb.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Mechanizm kontroli aplikacji pozwala na ustawienie domyślnej akcji w tym zezwolenia, zablokowania, zgłoszenia dla uruchamianych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Zapora sieciowa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możliwość zarządzania zaporą ogniową (tzw.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personal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firewall) wbudowaną w system Windows, z możliwością definiowania profili bezpieczeństwa możliwych do przypisania dla pojedynczej stacji roboczej lub grup.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Mechanizm kontroli zapory ogniowej posiada wbudowane predefiniowane profile.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Profile bezpieczeństwa zapory ogniowej zawierają predefiniowane reguły zezwalające na bezproblemową komunikację w sieci lokalnej.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 posiada możliwość określenia domyślnej reakcji dla nieznanej komunikacji sieciowej dla ruchu przychodzącego i wychodzącego.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Jako domyślne akcje dla nieznanego ruchu sieciowego rozwiązanie pozwala określić blokowanie lub zezwolenie na taką komunikację.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Administrator posiada możliwość stworzenia reguł stosowanych w przypadku aktywacji izolacji hosta od sieci.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Kontrola www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funkcję blokowania dostępu do kategorii witryn WWW skatalogowanych przez systemy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reputacyjne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producenta bez konieczności ręcznego wpisywania poszczególnych adresów.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Oprogramowanie zapewnia co najmniej 30 kategorii witryn WWW.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Użytkownik podczas próby przejścia na witrynę znajdująca się w zablokowanej przez Administratora kategorii, jest powiadomiony o nałożonej na niego blokadzie komunikatem w przeglądarce internetowej.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Rozwiązanie posiada możliwość blokowania witryn na podstawie kategorii zarówno dla protokołu HTTP jak i HTTPS.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Software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updater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Rozwiązanie posiada wbudowany moduł aktualizacji aplikacji firm trzecich, który okresowo skanuje aplikacje zainstalowane na stacji roboczej i umożliwia ich aktualizację do najnowszych wersji.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Moduł aktualizacji aplikacji pełni rolę programu łatającego podatności i instalującego aktualizacje oprogramowania, a nie pasywnego skanera luk w bezpieczeństwie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Administrator ma możliwość zdefiniowania aplikacji, które nie podlegają aktualizacji.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Dodanie aplikacji wykluczonych z aktualizacji odbywa się na podstawie nazwy aplikacji, ID biuletynu oraz dostawcy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System centralnego zarządzania pozwala prezentować niezaktualizowane aplikacje na komputerach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Mechanizm aktualizacji oprogramowania firm trzecich nie wymaga instalowania dodatkowych agentów oprócz agenta EPP.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Mechanizm aktualizacji oprogramowania firm trzecich pozwala na wymuszenie instalacji aktualizacji w sposób akcji wymuszonej z poziomu interfejsu zarządzania lub reguły harmonogramu wykonującej się w sposób zaplanowany konkretnego dnia i o konkretnej godzinie.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8. W przypadku gdy aktualizacja oprogramowania nie mogła się wykonać zgodnie z harmonogramem, zadanie instalacji może być uruchomione w najbliższym możliwym terminie z pominięciem harmonogramu.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W przypadku gdy aplikacja musi zostać zamknięta przed procesem aktualizacji administrator ma możliwość określenia czy ma się to odbyć automatycznie – bez wiedzy użytkownika, czy też ma się wyświetlić odpowiedni komunikat użytkownikowi z informacją o konieczności zamknięcia obecnie uruchomionej aplikacji wymagającej aktualizacji.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10. Administrator konsoli zarządzającej ma możliwości zapoznania się z opisem danej podatności aplikacji uruchamiając aktywny link z konsoli zarządzającej z przekierowaniem na strony producenta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11. Administrator posiada możliwość skonfigurowania instalacji automatycznej aktualizacji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Kontrola nośników zewnętrznych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Oprogramowanie umożliwia blokowanie lub zezwalanie na dostęp do wybranych przez administratora urządzeń zewnętrznych podłączanych do stacji końcowej.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Oprogramowanie umożliwia zdefiniowanie listy zaufanych urządzeń, które nie będą blokowane podczas podłączanie do stacji końcowej.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pozwala na nałożenie blokady zapisywania plików na zewnętrznych nośnikach pamięci (tryb tylko do odczytu).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Rozwiązanie pozwala na blokadę uruchamiania oprogramowania z dysków zewnętrznych, jednocześnie blokada ta umożliwia korzystanie z pozostałych danych zapisanych na takich dyskach.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 xml:space="preserve">    5. Administrator jest informowany o podłączanych do chronionych systemów urządzeniach zewnętrznych.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Informacja o podłączanych urządzeniach zewnętrznych dotyczy wszystkich urządzeń lub tylko nowych.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Zaawansowana ochrona przed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ransomware</w:t>
            </w:r>
            <w:proofErr w:type="spellEnd"/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Oprogramowanie posiada dodatkowy moduł chroniący dane użytkownika przed działaniem oprogramowania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ransomware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Działanie modułu polega na ograniczeniu możliwości modyfikowania chronionych plików, tylko procesom systemowym oraz zaufanym aplikacjom.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Administrator posiada możliwość określenia folderów, które mają zostać objęte dodatkową ochroną przed modyfikacją.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 posiada możliwość określenia domyślnej reakcji na próby modyfikowania plików w chronionych folderach zezwalając na taką modyfikację lub blokowanie.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Rozwiązanie posiada możliwość zdefiniowania zaufanych folderów. Aplikacje uruchamiane z zaufanych folderów mają możliwość modyfikowania plików objętych dodatkową ochroną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antyransomware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Dodatkowe funkcje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Instalator oprogramowania na stacji końcowej posiada możliwość sprawdzenia istnienia poprzednich wersji oprogramowania oraz oprogramowania uniemożliwiającego poprawne działanie klienta.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W przypadku znalezienia oprogramowania uniemożliwiającego poprawne działanie klienta, instalator informuje o tym fakcie użytkownika i w razie akceptacji pozwala usunąć takie oprogramowanie.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Administrator posiada możliwość zdefiniowania automatycznego procesu usuwania programowania uniemożliwiającego poprawne działanie klienta, bez informowania użytkownika końcowego.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 posiada możliwość zablokowania deinstalacji aplikacji chroniącej przez użytkownika końcowego.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Deinstalacja aplikacji może odbyć się po podaniu hasła skonfigurowanego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Administrator ma możliwość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granularnego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zablokowania zmiany konfiguracji przez użytkownika końcowego dla poszczególnych modułów ochrony oraz dostępnych funkcji aplikacji chroniącej.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Opis systemu centralnego zarządzania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System centralnego zarządzania może być zainstalowany na wersjach serwerowych systemów Microsoft Windows lub Linux.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Instalacja sytemu centralnego zarządzania dla Microsoft Windows wspiera następujące wersje systemów operacyjnych: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2012 (Essentials, Standard, Datacenter)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2012 R2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2016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2019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Windows Server 2022 (Essentials, Standard, Datacenter)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Instalacja sytemu centralnego zarządzania dla Linux wspiera następujące 64 bitowe wersje systemów operacyjnych: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Red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Hat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Enterprise Linux 6,7,8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CentOS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7, 8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SuSE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Linux Enterprise Server 11, 12, 15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SuSE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Linux Enterprise Desktop 11, 12, 15 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Debian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GNU Linux 9, 10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•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Ubuntu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16.04, 18.04, 20.04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1. Pełna administracja konfiguracją i monitorowanie stacji roboczych i serwerów plików za pomocą konsoli administracyjnej.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2. Komunikacja pomiędzy serwerem centralnego zarządzania a stacjami roboczymi jest zaszyfrowana.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3. Rozwiązanie pozwala na scentralizowane blokowanie i odblokowywanie dostępu użytkownika do zmian konfiguracyjnych oprogramowania klienckiego, konsola pozwala na zdalne zarządzanie wszystkimi ustawieniami klienta.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4. Administratorzy mają możliwość tworzenia logicznych grup klientów i serwerów, w celu zarządzania oraz wymuszania określonych dla grupy zasad bezpieczeństwa.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5. Centralna konsola administracyjna umożliwia przenoszenie klientów z jednej grupy do drugiej z możliwością zachowania ustawień lub dziedziczenia ustawień grupy.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6. Rozwiązanie pozwala na tworzenie grup, zdalne instalowanie oprogramowania oraz wymuszanie stosowania określonych zasad i ustawień na klientach.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7. Rozwiązanie pozwala na import struktury drzewa z Microsoft Active Directory.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lastRenderedPageBreak/>
              <w:t xml:space="preserve">    8. Rozwiązanie pozwala na tworzenie reguł synchronizacji z Microsoft Active Directory umożliwiających automatyczną synchronizację klientów z aktualnie istniejącymi grupami komputerów.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9. Rozwiązanie pozwala na tworzenie reguł powiadamiania o nowych, niezarządzanych klientach w Microsoft Active Directory.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10. Rozwiązanie pozwala na blokowanie wszystkich ustawień konfiguracyjnych stacji roboczych w celu uniemożliwienia ich modyfikacji przez użytkowników.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11. Rozwiązanie pozwala na zdefiniowania hasła do odinstalowania aplikacji.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12. Rozwiązanie pozwala na definiowania harmonogramów lub częstotliwości automatycznego pobierania aktualizacji definicji wirusów.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13. Rozwiązanie posiada możliwość instalacji i konfiguracji wewnętrznego serwera aktualizacji, łączącego się z serwerem aktualizacji producenta i aktualizacja serwerów, serwera zarządzającego oraz stacji roboczych z wewnętrznego serwera aktualizacji.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14. Funkcja przechowywania i przekazywania danych umożliwiająca przechowywanie przez klientów danych dotyczących zdarzeń, w sytuacji, jeśli nie mogą oni uzyskać połączenia z serwerem zarządzania. Dane muszą być przesyłane do serwera zarządzania podczas kolejnego połączenia.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15. Rozwiązanie pozwala na konfigurację włączania/wyłączania wyświetlania komunikatów o znalezionych wirusach na wybranych stacjach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16. Rozwiązanie umożliwia administratorom na audyt sieci, polegający na wykryciu niechronionych węzłów narażonych na ataki.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17. Rozwiązanie pozwala na eksport raportów z pracy systemu do pliku HTML.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18. Rozwiązanie daje możliwość natychmiastowej aktualizacji przez serwer definicji wirusów na stacjach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19. Rozwiązanie posiada dedykowany system raportowania dostępny przez przeglądarkę internetową umożliwiający podgląd statystyk dotyczących wykrytych wirusów, przeprowadzonych ataków, zainstalowanego oprogramowania oraz statystyk połączenia stacji klienckich.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20. System raportowania umożliwia wysyłanie raportów poprzez pocztę elektroniczną zgodnie z harmonogramem określonym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21. Zarządzanie zdarzeniami i raportowanie pozwala na natychmiastowe alarmowanie o aktywności wirusów w administrowanej sieci na kilka sposobów: poczta elektroniczna, powiadomienia przez SNMP, raportowanie do dziennika systemowego, raportowanie do systemu centralnego zarządzania.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22. Rozwiązanie daje możliwość przekierowania alertów bezpośrednio do serwera </w:t>
            </w:r>
            <w:proofErr w:type="spellStart"/>
            <w:r w:rsidRPr="00D878A4">
              <w:rPr>
                <w:rFonts w:eastAsia="Times New Roman"/>
                <w:sz w:val="20"/>
                <w:szCs w:val="20"/>
                <w:lang w:val="pl-PL"/>
              </w:rPr>
              <w:t>Syslog</w:t>
            </w:r>
            <w:proofErr w:type="spellEnd"/>
            <w:r w:rsidRPr="00D878A4">
              <w:rPr>
                <w:rFonts w:eastAsia="Times New Roman"/>
                <w:sz w:val="20"/>
                <w:szCs w:val="20"/>
                <w:lang w:val="pl-PL"/>
              </w:rPr>
              <w:t>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23. Rozwiązanie umożliwia tworzenie wielu kont dostępu do systemu centralnego zarządzania dla różnych użytkowników (w tym możliwość nadaniu danemu użytkownikowi ograniczonych praw).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24. Rozwiązanie umożliwia wykonanie pełnej kopii bazy danych systemu zarządzania centralnego bez konieczności ręcznego wyłączania programu.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25. Wykonywanie automatycznej kopii bazy danych systemu zarządzania centralnego może odbywać się zgodnie z harmonogramem określonym przez administratora.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26. Administrator posiada możliwość określenia liczby kopii bazy danych, jaka będzie przetrzymywana przez automatyczny system tworzenia kopii zapasowej.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27. Rozwiązanie posiada możliwość wygenerowania danych diagnostycznych z podpiętych komputerów za pomocą konsoli zarządzającej.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28. Rozwiązanie posiada możliwość bezpośredniego pobrania z komputera danych diagnostycznych z poziomu konsoli zarządzającej.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29. Administrator posiada możliwość komentowania stosowanej konfiguracji stacji końcowych za pomocą notatek umieszczonych w interfejsie graficznym konsoli zarządzającej.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30. Konsola wyposażona jest w panel kontrolny zawierający podstawowe informacje dotyczące obecnego stanu chronionego środowiska.</w:t>
            </w:r>
          </w:p>
          <w:p w:rsidR="00D878A4" w:rsidRPr="00D878A4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 xml:space="preserve">    31. System zarządzania pozwala na tworzenie profili w zależności od systemu operacyjnego i wersji wykorzystywanego w organizacji oprogramowania służącego ochronie.</w:t>
            </w:r>
          </w:p>
          <w:p w:rsidR="00D878A4" w:rsidRPr="00404D48" w:rsidRDefault="00D878A4" w:rsidP="00D878A4">
            <w:pPr>
              <w:suppressLineNumbers/>
              <w:rPr>
                <w:rFonts w:eastAsia="Times New Roman"/>
                <w:sz w:val="20"/>
                <w:szCs w:val="20"/>
                <w:lang w:val="pl-PL"/>
              </w:rPr>
            </w:pPr>
            <w:r w:rsidRPr="00D878A4">
              <w:rPr>
                <w:rFonts w:eastAsia="Times New Roman"/>
                <w:sz w:val="20"/>
                <w:szCs w:val="20"/>
                <w:lang w:val="pl-PL"/>
              </w:rPr>
              <w:t>Wymagana instalacja i konfiguracja oprogramowania na sprzęcie wskazanym przez Zamawiającego.</w:t>
            </w:r>
          </w:p>
        </w:tc>
      </w:tr>
    </w:tbl>
    <w:p w:rsidR="00404D48" w:rsidRPr="008542AD" w:rsidRDefault="00404D48">
      <w:pPr>
        <w:rPr>
          <w:lang w:val="pl-PL"/>
        </w:rPr>
      </w:pPr>
    </w:p>
    <w:p w:rsidR="000D4E00" w:rsidRPr="008542AD" w:rsidRDefault="000D4E00" w:rsidP="000D4E00">
      <w:pPr>
        <w:spacing w:after="60"/>
        <w:jc w:val="both"/>
        <w:rPr>
          <w:rFonts w:ascii="Arial" w:eastAsia="Times New Roman" w:hAnsi="Arial" w:cs="Times New Roman"/>
          <w:kern w:val="0"/>
          <w:sz w:val="16"/>
          <w:szCs w:val="16"/>
          <w:lang w:val="pl-PL" w:eastAsia="pl-PL" w:bidi="ar-SA"/>
        </w:rPr>
      </w:pPr>
    </w:p>
    <w:p w:rsidR="000D4E00" w:rsidRPr="008542AD" w:rsidRDefault="000D4E00" w:rsidP="000D4E00">
      <w:pPr>
        <w:spacing w:after="60"/>
        <w:jc w:val="both"/>
        <w:rPr>
          <w:rFonts w:ascii="Arial" w:eastAsia="Times New Roman" w:hAnsi="Arial" w:cs="Times New Roman"/>
          <w:kern w:val="0"/>
          <w:sz w:val="16"/>
          <w:szCs w:val="16"/>
          <w:lang w:val="pl-PL" w:eastAsia="pl-PL" w:bidi="ar-SA"/>
        </w:rPr>
      </w:pPr>
    </w:p>
    <w:p w:rsidR="000D4E00" w:rsidRPr="008542AD" w:rsidRDefault="000D4E00" w:rsidP="000D4E00">
      <w:pPr>
        <w:spacing w:after="60"/>
        <w:jc w:val="both"/>
        <w:rPr>
          <w:rFonts w:ascii="Arial" w:eastAsia="Times New Roman" w:hAnsi="Arial" w:cs="Times New Roman"/>
          <w:kern w:val="0"/>
          <w:sz w:val="16"/>
          <w:szCs w:val="16"/>
          <w:lang w:val="pl-PL" w:eastAsia="pl-PL" w:bidi="ar-SA"/>
        </w:rPr>
      </w:pPr>
    </w:p>
    <w:p w:rsidR="000D4E00" w:rsidRPr="008542AD" w:rsidRDefault="000D4E00" w:rsidP="000D4E00">
      <w:pPr>
        <w:spacing w:after="60"/>
        <w:jc w:val="both"/>
        <w:rPr>
          <w:rFonts w:ascii="Arial" w:eastAsia="Times New Roman" w:hAnsi="Arial" w:cs="Times New Roman"/>
          <w:kern w:val="0"/>
          <w:sz w:val="22"/>
          <w:szCs w:val="22"/>
          <w:lang w:val="pl-PL" w:eastAsia="pl-PL" w:bidi="ar-SA"/>
        </w:rPr>
      </w:pPr>
      <w:r w:rsidRPr="008542AD">
        <w:rPr>
          <w:rFonts w:ascii="Arial" w:eastAsia="Times New Roman" w:hAnsi="Arial" w:cs="Times New Roman"/>
          <w:kern w:val="0"/>
          <w:sz w:val="22"/>
          <w:szCs w:val="22"/>
          <w:lang w:val="pl-PL" w:eastAsia="pl-PL" w:bidi="ar-SA"/>
        </w:rPr>
        <w:t>......................................., dnia ..................................</w:t>
      </w:r>
    </w:p>
    <w:p w:rsidR="000D4E00" w:rsidRPr="008542AD" w:rsidRDefault="000D4E00" w:rsidP="000D4E00">
      <w:pPr>
        <w:spacing w:after="60"/>
        <w:ind w:firstLine="708"/>
        <w:jc w:val="both"/>
        <w:rPr>
          <w:rFonts w:ascii="Arial" w:eastAsia="Times New Roman" w:hAnsi="Arial" w:cs="Times New Roman"/>
          <w:kern w:val="0"/>
          <w:sz w:val="16"/>
          <w:szCs w:val="16"/>
          <w:lang w:val="pl-PL" w:eastAsia="pl-PL" w:bidi="ar-SA"/>
        </w:rPr>
      </w:pPr>
      <w:r w:rsidRPr="008542AD">
        <w:rPr>
          <w:rFonts w:ascii="Arial" w:eastAsia="Times New Roman" w:hAnsi="Arial" w:cs="Times New Roman"/>
          <w:i/>
          <w:iCs/>
          <w:kern w:val="0"/>
          <w:sz w:val="16"/>
          <w:szCs w:val="16"/>
          <w:lang w:val="pl-PL" w:eastAsia="pl-PL" w:bidi="ar-SA"/>
        </w:rPr>
        <w:t xml:space="preserve">    </w:t>
      </w:r>
      <w:r w:rsidRPr="008542AD">
        <w:rPr>
          <w:rFonts w:ascii="Arial" w:eastAsia="Times New Roman" w:hAnsi="Arial" w:cs="Times New Roman"/>
          <w:kern w:val="0"/>
          <w:sz w:val="16"/>
          <w:szCs w:val="16"/>
          <w:lang w:val="pl-PL" w:eastAsia="pl-PL" w:bidi="ar-SA"/>
        </w:rPr>
        <w:t>(miejscowość)</w:t>
      </w:r>
    </w:p>
    <w:p w:rsidR="000D4E00" w:rsidRPr="008542AD" w:rsidRDefault="000D4E00" w:rsidP="000D4E00">
      <w:pPr>
        <w:spacing w:after="60"/>
        <w:jc w:val="both"/>
        <w:rPr>
          <w:rFonts w:ascii="Arial" w:eastAsia="Times New Roman" w:hAnsi="Arial" w:cs="Times New Roman"/>
          <w:kern w:val="0"/>
          <w:sz w:val="16"/>
          <w:szCs w:val="16"/>
          <w:lang w:val="pl-PL" w:eastAsia="pl-PL" w:bidi="ar-SA"/>
        </w:rPr>
      </w:pPr>
    </w:p>
    <w:p w:rsidR="000D4E00" w:rsidRPr="008542AD" w:rsidRDefault="000D4E00" w:rsidP="000D4E00">
      <w:pPr>
        <w:spacing w:after="60"/>
        <w:ind w:left="4956" w:firstLine="431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8542A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              ..........................…………………..........…………</w:t>
      </w:r>
    </w:p>
    <w:p w:rsidR="000D4E00" w:rsidRPr="008542AD" w:rsidRDefault="000D4E00" w:rsidP="000D4E00">
      <w:pPr>
        <w:spacing w:after="60"/>
        <w:ind w:left="4956" w:firstLine="714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val="pl-PL" w:eastAsia="pl-PL" w:bidi="ar-SA"/>
        </w:rPr>
      </w:pPr>
      <w:r w:rsidRPr="008542AD">
        <w:rPr>
          <w:rFonts w:ascii="Calibri" w:eastAsia="Times New Roman" w:hAnsi="Calibri" w:cs="Times New Roman"/>
          <w:b/>
          <w:kern w:val="0"/>
          <w:sz w:val="20"/>
          <w:szCs w:val="20"/>
          <w:lang w:val="pl-PL" w:eastAsia="pl-PL" w:bidi="ar-SA"/>
        </w:rPr>
        <w:t>podpis osoby uprawnionej</w:t>
      </w:r>
    </w:p>
    <w:p w:rsidR="000D4E00" w:rsidRPr="008542AD" w:rsidRDefault="000D4E00" w:rsidP="000D4E00">
      <w:pPr>
        <w:ind w:left="5880"/>
        <w:rPr>
          <w:lang w:val="pl-PL"/>
        </w:rPr>
      </w:pPr>
      <w:r w:rsidRPr="008542AD">
        <w:rPr>
          <w:rFonts w:ascii="Calibri" w:eastAsia="Times New Roman" w:hAnsi="Calibri" w:cs="Times New Roman"/>
          <w:b/>
          <w:kern w:val="0"/>
          <w:sz w:val="20"/>
          <w:szCs w:val="20"/>
          <w:lang w:val="pl-PL" w:eastAsia="pl-PL" w:bidi="ar-SA"/>
        </w:rPr>
        <w:t xml:space="preserve">      do reprezentowania Wykonawcy</w:t>
      </w:r>
    </w:p>
    <w:p w:rsidR="000D4E00" w:rsidRPr="008542AD" w:rsidRDefault="000D4E00">
      <w:pPr>
        <w:rPr>
          <w:lang w:val="pl-PL"/>
        </w:rPr>
      </w:pPr>
    </w:p>
    <w:sectPr w:rsidR="000D4E00" w:rsidRPr="008542AD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1CCF"/>
    <w:multiLevelType w:val="multilevel"/>
    <w:tmpl w:val="B3D0A9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B84909"/>
    <w:multiLevelType w:val="multilevel"/>
    <w:tmpl w:val="6706B2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9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54A77"/>
    <w:rsid w:val="000121CF"/>
    <w:rsid w:val="000562B6"/>
    <w:rsid w:val="000860E2"/>
    <w:rsid w:val="00096C3A"/>
    <w:rsid w:val="000D4E00"/>
    <w:rsid w:val="001062FE"/>
    <w:rsid w:val="001509F4"/>
    <w:rsid w:val="00157FC5"/>
    <w:rsid w:val="001A0295"/>
    <w:rsid w:val="001C4AFD"/>
    <w:rsid w:val="003251D3"/>
    <w:rsid w:val="003442E5"/>
    <w:rsid w:val="00354A77"/>
    <w:rsid w:val="00404D48"/>
    <w:rsid w:val="00423D55"/>
    <w:rsid w:val="00431DF1"/>
    <w:rsid w:val="0046083E"/>
    <w:rsid w:val="004A4C3A"/>
    <w:rsid w:val="004B475A"/>
    <w:rsid w:val="004C35E6"/>
    <w:rsid w:val="005929D4"/>
    <w:rsid w:val="006E0354"/>
    <w:rsid w:val="00724A1F"/>
    <w:rsid w:val="00745927"/>
    <w:rsid w:val="00784AA3"/>
    <w:rsid w:val="007B47DD"/>
    <w:rsid w:val="007C6887"/>
    <w:rsid w:val="007D0EE2"/>
    <w:rsid w:val="007E14D8"/>
    <w:rsid w:val="008542AD"/>
    <w:rsid w:val="00895020"/>
    <w:rsid w:val="009348C1"/>
    <w:rsid w:val="00957504"/>
    <w:rsid w:val="00971D5A"/>
    <w:rsid w:val="009B0C0F"/>
    <w:rsid w:val="009B490A"/>
    <w:rsid w:val="00A611B3"/>
    <w:rsid w:val="00B514E7"/>
    <w:rsid w:val="00B77F70"/>
    <w:rsid w:val="00C61B7F"/>
    <w:rsid w:val="00CF587D"/>
    <w:rsid w:val="00D878A4"/>
    <w:rsid w:val="00DA164B"/>
    <w:rsid w:val="00DD36DE"/>
    <w:rsid w:val="00E24931"/>
    <w:rsid w:val="00ED1198"/>
    <w:rsid w:val="00F46570"/>
    <w:rsid w:val="00F70AA8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9E14"/>
  <w15:docId w15:val="{2F53D69E-2AF1-4034-B90B-7A18942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B4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ywacja@pans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</TotalTime>
  <Pages>13</Pages>
  <Words>7055</Words>
  <Characters>42333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Maciej Krukar</cp:lastModifiedBy>
  <cp:revision>362</cp:revision>
  <dcterms:created xsi:type="dcterms:W3CDTF">2009-04-16T11:32:00Z</dcterms:created>
  <dcterms:modified xsi:type="dcterms:W3CDTF">2023-06-22T07:05:00Z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