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DC" w:rsidRPr="009E3D9A" w:rsidRDefault="00C7731E" w:rsidP="009A02DC">
      <w:pPr>
        <w:pStyle w:val="Tekstpodstawowywcity3"/>
        <w:spacing w:after="120"/>
        <w:ind w:left="0"/>
        <w:rPr>
          <w:rFonts w:cs="Arial"/>
        </w:rPr>
      </w:pPr>
      <w:r w:rsidRPr="00C7731E">
        <w:rPr>
          <w:noProof/>
          <w:lang w:eastAsia="pl-PL"/>
        </w:rPr>
        <w:pict>
          <v:roundrect id="Prostokąt zaokrąglony 1" o:spid="_x0000_s1026" style="position:absolute;left:0;text-align:left;margin-left:0;margin-top:-4.25pt;width:184.1pt;height:89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" strokeweight="1pt">
            <v:stroke dashstyle="1 1" endcap="round"/>
            <v:textbox inset=",,,0">
              <w:txbxContent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spacing w:line="360" w:lineRule="auto"/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/>
                <w:tbl>
                  <w:tblPr>
                    <w:tblW w:w="147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5279"/>
                    <w:gridCol w:w="7938"/>
                  </w:tblGrid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Kasetowy system serwerowy (blade) -1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Serwer kasetowy – 4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procesor (nazwa, 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pojemność pamięci RAM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…………………………………………………………………………………..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Wymagania podstawowe </w:t>
                        </w:r>
                        <w:r>
                          <w:rPr>
                            <w:rFonts w:cs="Arial"/>
                            <w:bCs/>
                            <w:iCs/>
                            <w:sz w:val="20"/>
                          </w:rPr>
                          <w:t>–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 obowiązkowe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musi być kasetowym systemem serwerowym opartym o: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Obudowę serwerową przeznaczoną do montażu w szafie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19’’, zawierającą gniazda rozszerzenia przewidziane do instalacji serwerów kasetowych jak również modułów przełączających i zarządzających, zasilaczy oraz wentylatorów,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Centralny, redundantny system przełączania i zarządzania zintegrowany w obudowie serwerowej,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Serwery kasetowe przeznaczone do instalacji w obudowie.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Należy dostarczyć 1 obudowę razem z oprogramowaniem zarządzającym oraz 4 serwery kasetowe wg poniższej specyfikacji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Wymaga się, aby obudowa serwerów kasetowych spełniała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instalacji co najmniej 4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Zainstalowane w obudowie redundantne zasilacze do obsługi minimum dwóch źródeł zasilania AC i odpowiednia ilość wentylatorów, obudowa umożliwia wymianę „na gorąco”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 wentylatorów oraz zasilaczy,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Wymagana jest możliwość pracy zasilaczy w trybach N+1,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N+N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Grid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Zainstalowane minimum dwa dedykowane sieciowe moduły przełączające, każdy umożliwiający dołączenie dowolnego serwera kasetowego co najmniej dwoma dedykowanymi wewnętrznymi interfejsami 10GE ze wsparciem dla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(FC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Ethernet).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Dołączenie musi być realizowane w ramach obudowy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backplane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 w sposób nie wymagający użycia kabli.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Obudowę należy wyposażyć w minimum 2 redundantne moduły komunikacyjne/sieciowe, z których każdy oferuje możliwość wykorzystania: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Co najmniej 4 zewnętrznych portów 10G w standardzie SFP/SFP+ obsługujących wkładki: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RJ45,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10G single/multimode, 10GE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Twinax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lub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DAC 1,3,5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metrów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4G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8G single/multimode,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Dedykowanego portu zarządzającego Ethernet 100/1000 RJ 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Moduł musi realizować dostęp serwerów kasetowych do sieci LAN oraz do sieci SAN poprzez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konwergetne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interfejsy 10GE, w oparciu o protokół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 zgodnie ze specyfikacją ANSI T11,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Moduł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musi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implementować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IEEE Data Center Bridging (802.1Qbb PFC, 802.1Qaz Enhanced Transmission Selection),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 musi realizować następujące funkcje warstwy 2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layer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2):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standardu IEEE 802.1Q,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minimum 100 wirtualnych sieci LAN (VLAN) i minimum 8 wirtualnych sieci SAN,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Obsługę protokołu LACP (IEEE 802.3ad),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ramek Jumbo (minimum 9216 bajtów),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Priorytetyzację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ruchu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QoS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za pomocą przynajmniej - IEEE 802.1p.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posiadać jeden centralny system zarządzający spełniający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 system zarządzania obejmujący wszystkie poniżej wymienione funkcjonalności musi być oparty o znajdujące się w obudowie, redundantne, dedykowane zasoby, bez konieczności instalowania w tym celu jakichkolwiek rozszerzeń sprzętowych systemu i nie wykorzystujący mocy obliczeniowej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mieć możliwość zarządzania serwerami kasetowymi dostarczanymi w ramach postępowania,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System zarządzania musi umożliwiać definicję oraz konfigurację serwera przy pomocy logicznego profilu obejmującego konfigurację serwera w zakresie sieci LAN i SAN. W zakres logicznego profilu serwerowego muszą wchodzić minimum następujące parametry:, adres MAC, adres WWNN/WWPN, sekwencja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bootowania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systemu, sposób konfiguracji oraz cechy adapterów NIC i HBA, ustawienia BIOS,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umożliwiać przeniesienie logicznego profilu serwera między dowolną parą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oferować poprzez graficzny oraz terminalowy interfejs użytkownika następujące funkcjonalności: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Lista komponentów, z których składają się obudowy serwerowe,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Wyświetlanie informacji o awariach i zdarzeniach,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Automatyczne powiadamianie o awarii poprzez email,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Archiwizacja i odtworzenie konfiguracji,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z uwzględnieniem podziału roli użytkowników,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mocą całego środowiska poprzez podgląd maksymalnej i średniej wykorzystanej przez komponenty mocy,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chłodzeniem całego środowiska poprzez podgląd temperatur na poszczególnych komponentach środowiska,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Konfigurowanie środowiska na podstawie puli wcześniej zdefiniowanych, dzielonych grup adresów LAN i SAN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oraz za pomocą szablonów interfejsów LAN 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Wyprowadzenia zewnętrzne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 modułów komunikacyjnych znajdujących się w obudowie należy wyprowadzić łącznie: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10GE-SR dla dołączenia do zewnętrznych sieci LAN,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FC 8G dla dołączenia do zewnętrznych sieci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 musi spełniać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dwa gniazda dla procesorów,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16 gniazd DIMM przeznaczonych do instalacji modułów pamięci DDR3 umożliwiających uzyskanie w maksymalnej konfiguracji 512 GB pamięci,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umożliwiać instalację dwóch dysków 2.5-in. SFF SAS lub 15mm SATA lub SSD wymiennych od przodu serwera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posiadać zainstalowany minimum jeden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konwergentny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adapter sieciowy LAN/SAN zapewniający wirtualizację interfejsów sieciowych w ilości co najmniej 16 wirtualnych interfejsów sieciowych per serwer widzianych z poziomu systemu operacyjnego jako niezależne urządzenia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PCIe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Dopuszcza się zastosowanie kilku adapterów w celu osiągnięcia wymaganej ilości interfejsów,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Musi umożliwiać instalację następujących systemów operacyjnych znajdujących się na oficjalnej liście kompatybilności sprzętu w wersji nie niższej niż 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Microsoft Windows Server 2012 R2 w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wersji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Standard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Datacenter,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RedHat Enterprise Linux 6.5 64 bit,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SUSE Linux Enterprise Server 11.3,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vSphere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5.5,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 oferowanej konfiguracji serwery kasetowe muszą być wyposażone minimum w następujące komponenty: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2 procesory umożliwiające osiągnięcie przez serwer w teście SPECint_rate_base2006 wyniku na poziomie min. 410 pkt.,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64 GB pamięci RAM,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Serwer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będzie z macierzy FC/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Wymagania rozszerzone – dodatkowo punktowane (maksymalnie 10pkt.)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Możliwość zarządzania serwerami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jako jednym środowiskiem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Funkcja musi umożliwiać konfigurację wszystkich parametrów, polityk, profili serwerowych łącznie dla całego środowiska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 blade z jednej konsoli bez różnicy. Serwery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muszą mieć te same możliwości konfiguracyjne z dokładnością do możliwości migracji profili serwerowych pomiędzy nimi, stosowania szablonów, puli adresów.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2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przez administratora trybu pracy modułu sieciowego LAN na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pkt.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end-host (dołączający serwery bezpośrednio do sieci, bez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spanning-tree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switch-a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przełączający ruch pomiędzy serwerami.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centralnego szablonu serwera, z którego tworzone będą nowe profile serwerowe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Funkcja musi także pozwalać na późniejszą modyfikację dużej ilości profili serwerowych poprzez modyfikację dowolnych parametrów wspólnego dla nich szablonu. Szablon musi uwzględniać przynajmniej: wszystkie parametry BIOS, ilość i konfigurację interfejsów SAN/LAN, pulę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identyfikatorów UUID, konfigurację parametrów RAID, adresację interfejsów zarządzających serwerów, wersję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komponentów serwera.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Środowisko, w ramach profilu serwerowego, musi umożliwiać zarządzanie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firmwarem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serwerów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1 </w:t>
                        </w:r>
                        <w:proofErr w:type="spellStart"/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pkt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Wymagana jest możliwość modyfikowania wersji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serwera w profilu serwerowym do dowolnej pożądanej wersji uwzględniającej zarówno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upgrade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jak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downgrade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Zmiany, po zatwierdzeniu administratora, muszą być przez system wprowadzane automatycznie bez potrzeby wykonywania dodatkowych prac administracyjnych lub stosowania dodatkowych narzędzi.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pozwalać na definiowanie dowolnej ilości roli (minimum oddzielnie administrator LAN, SAN, zarządzania sprzętem, wirtualizacji, utrzymania systemu, przeglądania logów administracyjnych)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także pozwalać na dowolne przypisywanie poziomów uprawnień oraz zakresów zadań dla poszczególnych wymienionych roli.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HA dla interfejsów sieciowych na poziomie sprzętowym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 razie awarii modułu sieciowego obudowy dowolny jeden interfejs karty sieciowej musi automatycznie przełączyć się z podstawowego na zapasowy moduł sieciowy bez zmiany swojego stanu pracy. Funkcja musi być zaimplementowana sprzętowo, niezależnie od systemu operacyjnego i sterowników.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wykorzystania więcej niż 16-tu interfejsów wirtualnych na dostarczanej karcie sieciowej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Interfejsy muszą być widoczne jako oddzielne urządzenia na szynie PCI z możliwością przypisania ich bezpośrednio do maszyn wirtualnych z pominięciem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hypervisora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Funkcja musi być niezależna od systemów operacyjnych i sterowników, implementowana sprzętowo.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</w:tbl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 xml:space="preserve"> pieczęć adresowa Wykonawcy</w:t>
                  </w:r>
                </w:p>
              </w:txbxContent>
            </v:textbox>
          </v:roundrect>
        </w:pict>
      </w:r>
    </w:p>
    <w:p w:rsidR="009A02DC" w:rsidRPr="009E3D9A" w:rsidRDefault="009A02DC" w:rsidP="009A02DC">
      <w:pPr>
        <w:spacing w:line="360" w:lineRule="auto"/>
        <w:jc w:val="center"/>
        <w:rPr>
          <w:rFonts w:cs="Arial"/>
          <w:szCs w:val="20"/>
        </w:rPr>
      </w:pPr>
    </w:p>
    <w:p w:rsidR="009A02DC" w:rsidRPr="009E3D9A" w:rsidRDefault="009A02DC" w:rsidP="009A02DC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</w:p>
    <w:p w:rsidR="009A02DC" w:rsidRPr="009E3D9A" w:rsidRDefault="009A02DC" w:rsidP="009A02DC">
      <w:pPr>
        <w:pStyle w:val="Nagwek2"/>
        <w:rPr>
          <w:rFonts w:ascii="Arial" w:hAnsi="Arial" w:cs="Arial"/>
          <w:iCs w:val="0"/>
          <w:sz w:val="20"/>
          <w:szCs w:val="20"/>
          <w:u w:val="single"/>
        </w:rPr>
      </w:pPr>
    </w:p>
    <w:p w:rsidR="009A02DC" w:rsidRPr="009E3D9A" w:rsidRDefault="009A02DC" w:rsidP="009A02DC">
      <w:pPr>
        <w:tabs>
          <w:tab w:val="left" w:pos="10304"/>
        </w:tabs>
        <w:rPr>
          <w:rFonts w:cs="Arial"/>
          <w:szCs w:val="20"/>
        </w:rPr>
      </w:pPr>
    </w:p>
    <w:p w:rsidR="009A02DC" w:rsidRPr="009A02DC" w:rsidRDefault="009A02DC" w:rsidP="009A02DC">
      <w:pPr>
        <w:suppressAutoHyphens/>
        <w:spacing w:line="360" w:lineRule="auto"/>
        <w:jc w:val="center"/>
        <w:rPr>
          <w:rFonts w:cs="Arial"/>
          <w:u w:val="single"/>
          <w:lang w:eastAsia="ar-SA"/>
        </w:rPr>
      </w:pPr>
      <w:r w:rsidRPr="00BE2087">
        <w:rPr>
          <w:rFonts w:cs="Arial"/>
          <w:b/>
          <w:u w:val="single"/>
          <w:lang w:eastAsia="ar-SA"/>
        </w:rPr>
        <w:t>SZCZEGÓŁOWA CHARAKTERYSTYKA OFEROWANEGO PRZEDMIOTU ZAMÓWIENIA</w:t>
      </w:r>
    </w:p>
    <w:p w:rsidR="00D314F7" w:rsidRDefault="00D314F7" w:rsidP="00D314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Jeżeli wykonawca oferuje tylko i wyłącznie </w:t>
      </w:r>
      <w:r>
        <w:rPr>
          <w:rFonts w:ascii="Arial" w:hAnsi="Arial" w:cs="Arial"/>
          <w:b/>
          <w:sz w:val="24"/>
          <w:szCs w:val="24"/>
        </w:rPr>
        <w:t xml:space="preserve">materiały „oryginalne” sygnowane przez producenta danego urządzenia, </w:t>
      </w:r>
      <w:r>
        <w:rPr>
          <w:rFonts w:ascii="Arial" w:hAnsi="Arial" w:cs="Arial"/>
          <w:b/>
          <w:sz w:val="24"/>
          <w:szCs w:val="24"/>
        </w:rPr>
        <w:br/>
        <w:t>nie wypełnia tego załącznika.</w:t>
      </w:r>
    </w:p>
    <w:p w:rsidR="00D314F7" w:rsidRDefault="00D314F7" w:rsidP="00D314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produktu oznaczonego w kolumnie nr 3 tabeli jako „fabrycznie nowy” lub oryginał Wykonawca dokonuje właściwego skreślenia słowa.</w:t>
      </w:r>
    </w:p>
    <w:p w:rsidR="00D314F7" w:rsidRDefault="00D314F7" w:rsidP="00D314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Jeżeli Zamawiający w kolumnie nr 3 tabeli dopuszcza oferowanie produktu kompatybilnego określonego jako „fabrycznie nowy”, </w:t>
      </w:r>
      <w:r>
        <w:rPr>
          <w:rFonts w:ascii="Arial" w:hAnsi="Arial" w:cs="Arial"/>
          <w:iCs/>
          <w:sz w:val="24"/>
          <w:szCs w:val="24"/>
        </w:rPr>
        <w:br/>
        <w:t xml:space="preserve">a Wykonawca oferuje produkt oryginalny producenta urządzeń wymienionych w kolumnie nr 5 tabeli, wtedy Wykonawca wypełnia tylko kolumnę nr 6 tabeli, a pozostałe niewypełnione pola w wierszu produktu oznacza jako „XXX” i skreśla słowo „fabrycznie nowy” </w:t>
      </w:r>
      <w:r>
        <w:rPr>
          <w:rFonts w:ascii="Arial" w:hAnsi="Arial" w:cs="Arial"/>
          <w:iCs/>
          <w:sz w:val="24"/>
          <w:szCs w:val="24"/>
        </w:rPr>
        <w:br/>
        <w:t>w kolumnie nr 3.</w:t>
      </w:r>
    </w:p>
    <w:p w:rsidR="00D314F7" w:rsidRDefault="00D314F7" w:rsidP="00D314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Każdy dokument dołączony do oferty powinien zostać oznaczony przez Wykonawcę odpowiednim numerem porządkowym, </w:t>
      </w:r>
      <w:r>
        <w:rPr>
          <w:rFonts w:ascii="Arial" w:hAnsi="Arial" w:cs="Arial"/>
          <w:iCs/>
          <w:sz w:val="24"/>
          <w:szCs w:val="24"/>
        </w:rPr>
        <w:br/>
        <w:t>a nr porządkowy wpisany do poniższej tabeli.</w:t>
      </w:r>
    </w:p>
    <w:p w:rsidR="00D314F7" w:rsidRDefault="00D314F7" w:rsidP="00D314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Obowiązek wykazania, że oferowany przedmiot zamówienia spełnia wymagania Zamawiającego, leży po stronie Wykonawcy.</w:t>
      </w: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Pr="009A02DC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6308" w:type="dxa"/>
        <w:jc w:val="center"/>
        <w:tblCellMar>
          <w:left w:w="70" w:type="dxa"/>
          <w:right w:w="70" w:type="dxa"/>
        </w:tblCellMar>
        <w:tblLook w:val="04A0"/>
      </w:tblPr>
      <w:tblGrid>
        <w:gridCol w:w="474"/>
        <w:gridCol w:w="2184"/>
        <w:gridCol w:w="1274"/>
        <w:gridCol w:w="1241"/>
        <w:gridCol w:w="2675"/>
        <w:gridCol w:w="1559"/>
        <w:gridCol w:w="1385"/>
        <w:gridCol w:w="1134"/>
        <w:gridCol w:w="1559"/>
        <w:gridCol w:w="1276"/>
        <w:gridCol w:w="1547"/>
      </w:tblGrid>
      <w:tr w:rsidR="00947F2F" w:rsidRPr="00407A45" w:rsidTr="003F606B">
        <w:trPr>
          <w:cantSplit/>
          <w:trHeight w:hRule="exact" w:val="2090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3F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3F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</w:p>
          <w:p w:rsidR="00947F2F" w:rsidRPr="00407A45" w:rsidRDefault="00947F2F" w:rsidP="003F60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947F2F" w:rsidRPr="00407A45" w:rsidRDefault="00947F2F" w:rsidP="003F60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3F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żądana wydajność materiału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3F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F2F" w:rsidRPr="00407A45" w:rsidRDefault="00947F2F" w:rsidP="003F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3F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kod, symbol, oznaczenie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3F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strony w ofercie dotyczący karty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3F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ofercie zawierający raport badań zgodnie z ISO/IEC 19752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3F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19798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3F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24711</w:t>
            </w:r>
          </w:p>
        </w:tc>
      </w:tr>
      <w:tr w:rsidR="00947F2F" w:rsidRPr="00407A45" w:rsidTr="009D27CB">
        <w:trPr>
          <w:cantSplit/>
          <w:trHeight w:hRule="exact" w:val="567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A24029" w:rsidRPr="00407A45" w:rsidTr="00A24029">
        <w:trPr>
          <w:cantSplit/>
          <w:trHeight w:hRule="exact" w:val="89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sz w:val="20"/>
                <w:szCs w:val="20"/>
              </w:rPr>
            </w:pPr>
            <w:r w:rsidRPr="00A24029">
              <w:rPr>
                <w:rFonts w:ascii="Arial" w:hAnsi="Arial" w:cs="Arial"/>
                <w:sz w:val="20"/>
                <w:szCs w:val="20"/>
              </w:rPr>
              <w:t xml:space="preserve">Canon CLI-36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4029">
              <w:rPr>
                <w:rFonts w:ascii="Arial" w:hAnsi="Arial" w:cs="Arial"/>
                <w:sz w:val="20"/>
                <w:szCs w:val="20"/>
              </w:rPr>
              <w:t>wkład kolor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A24029" w:rsidRDefault="00A24029" w:rsidP="00A24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029">
              <w:rPr>
                <w:rFonts w:ascii="Arial" w:hAnsi="Arial" w:cs="Arial"/>
                <w:sz w:val="20"/>
                <w:szCs w:val="20"/>
              </w:rPr>
              <w:t>250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>Pixma</w:t>
            </w:r>
            <w:proofErr w:type="spellEnd"/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 xml:space="preserve"> iP110, Canon </w:t>
            </w:r>
            <w:proofErr w:type="spellStart"/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>Pixma</w:t>
            </w:r>
            <w:proofErr w:type="spellEnd"/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 xml:space="preserve"> TR150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029" w:rsidRPr="00407A45" w:rsidTr="00A24029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sz w:val="20"/>
                <w:szCs w:val="20"/>
              </w:rPr>
            </w:pPr>
            <w:r w:rsidRPr="00A24029">
              <w:rPr>
                <w:rFonts w:ascii="Arial" w:hAnsi="Arial" w:cs="Arial"/>
                <w:sz w:val="20"/>
                <w:szCs w:val="20"/>
              </w:rPr>
              <w:t xml:space="preserve">Canon PGI-35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4029">
              <w:rPr>
                <w:rFonts w:ascii="Arial" w:hAnsi="Arial" w:cs="Arial"/>
                <w:sz w:val="20"/>
                <w:szCs w:val="20"/>
              </w:rPr>
              <w:t>wkład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A24029" w:rsidRDefault="00A24029" w:rsidP="00A24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029">
              <w:rPr>
                <w:rFonts w:ascii="Arial" w:hAnsi="Arial" w:cs="Arial"/>
                <w:sz w:val="20"/>
                <w:szCs w:val="20"/>
              </w:rPr>
              <w:t>191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>Pixma</w:t>
            </w:r>
            <w:proofErr w:type="spellEnd"/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 xml:space="preserve"> iP110, Canon </w:t>
            </w:r>
            <w:proofErr w:type="spellStart"/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>Pixma</w:t>
            </w:r>
            <w:proofErr w:type="spellEnd"/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 xml:space="preserve"> TR150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029" w:rsidRPr="00407A45" w:rsidTr="00A24029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sz w:val="20"/>
                <w:szCs w:val="20"/>
              </w:rPr>
            </w:pPr>
            <w:r w:rsidRPr="00A24029">
              <w:rPr>
                <w:rFonts w:ascii="Arial" w:hAnsi="Arial" w:cs="Arial"/>
                <w:sz w:val="20"/>
                <w:szCs w:val="20"/>
              </w:rPr>
              <w:t>Epson C13S051228 bęben</w:t>
            </w:r>
            <w:r>
              <w:rPr>
                <w:rFonts w:ascii="Arial" w:hAnsi="Arial" w:cs="Arial"/>
                <w:sz w:val="20"/>
                <w:szCs w:val="20"/>
              </w:rPr>
              <w:t xml:space="preserve">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A24029" w:rsidRDefault="00A24029" w:rsidP="00A24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029">
              <w:rPr>
                <w:rFonts w:ascii="Arial" w:hAnsi="Arial" w:cs="Arial"/>
                <w:sz w:val="20"/>
                <w:szCs w:val="20"/>
              </w:rPr>
              <w:t>100 000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>Epson AL-M300DN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503052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</w:tr>
      <w:tr w:rsidR="00A24029" w:rsidRPr="00407A45" w:rsidTr="00A24029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sz w:val="20"/>
                <w:szCs w:val="20"/>
              </w:rPr>
            </w:pPr>
            <w:r w:rsidRPr="00A24029">
              <w:rPr>
                <w:rFonts w:ascii="Arial" w:hAnsi="Arial" w:cs="Arial"/>
                <w:sz w:val="20"/>
                <w:szCs w:val="20"/>
              </w:rPr>
              <w:t xml:space="preserve">Epson T266 C13T26614010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4029">
              <w:rPr>
                <w:rFonts w:ascii="Arial" w:hAnsi="Arial" w:cs="Arial"/>
                <w:sz w:val="20"/>
                <w:szCs w:val="20"/>
              </w:rPr>
              <w:t>tusz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A24029" w:rsidRDefault="00A24029" w:rsidP="00A24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029">
              <w:rPr>
                <w:rFonts w:ascii="Arial" w:hAnsi="Arial" w:cs="Arial"/>
                <w:sz w:val="20"/>
                <w:szCs w:val="20"/>
              </w:rPr>
              <w:t>250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>Epson WF-100W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029" w:rsidRPr="00407A45" w:rsidTr="00A24029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sz w:val="20"/>
                <w:szCs w:val="20"/>
              </w:rPr>
            </w:pPr>
            <w:r w:rsidRPr="00A24029">
              <w:rPr>
                <w:rFonts w:ascii="Arial" w:hAnsi="Arial" w:cs="Arial"/>
                <w:sz w:val="20"/>
                <w:szCs w:val="20"/>
              </w:rPr>
              <w:t xml:space="preserve">Epson T267 8715946541846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4029">
              <w:rPr>
                <w:rFonts w:ascii="Arial" w:hAnsi="Arial" w:cs="Arial"/>
                <w:sz w:val="20"/>
                <w:szCs w:val="20"/>
              </w:rPr>
              <w:t>tusz kolorowy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A24029" w:rsidRDefault="00A24029" w:rsidP="00A24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029">
              <w:rPr>
                <w:rFonts w:ascii="Arial" w:hAnsi="Arial" w:cs="Arial"/>
                <w:sz w:val="20"/>
                <w:szCs w:val="20"/>
              </w:rPr>
              <w:t>200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29" w:rsidRPr="00A24029" w:rsidRDefault="00A24029" w:rsidP="00A24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29">
              <w:rPr>
                <w:rFonts w:ascii="Arial" w:hAnsi="Arial" w:cs="Arial"/>
                <w:color w:val="000000"/>
                <w:sz w:val="20"/>
                <w:szCs w:val="20"/>
              </w:rPr>
              <w:t>Epson WF-100W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29" w:rsidRPr="00F026FE" w:rsidRDefault="00A24029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AA3" w:rsidRPr="00947F2F" w:rsidRDefault="008C6AA3" w:rsidP="008C6AA3">
      <w:pPr>
        <w:rPr>
          <w:rFonts w:ascii="Arial" w:hAnsi="Arial" w:cs="Arial"/>
          <w:sz w:val="20"/>
          <w:szCs w:val="20"/>
        </w:rPr>
      </w:pPr>
      <w:r w:rsidRPr="00947F2F">
        <w:rPr>
          <w:rFonts w:ascii="Arial" w:hAnsi="Arial" w:cs="Arial"/>
          <w:b/>
          <w:sz w:val="20"/>
          <w:szCs w:val="20"/>
        </w:rPr>
        <w:t>* niepotrzebne skreślić</w:t>
      </w:r>
    </w:p>
    <w:p w:rsidR="00D314F7" w:rsidRPr="002F1C80" w:rsidRDefault="00D314F7" w:rsidP="00D314F7">
      <w:pPr>
        <w:pStyle w:val="Default"/>
        <w:rPr>
          <w:b/>
          <w:szCs w:val="20"/>
        </w:rPr>
      </w:pPr>
      <w:r w:rsidRPr="002F1C80">
        <w:rPr>
          <w:b/>
          <w:szCs w:val="20"/>
        </w:rPr>
        <w:t>Uwaga:</w:t>
      </w:r>
    </w:p>
    <w:p w:rsidR="00D314F7" w:rsidRPr="002F1C80" w:rsidRDefault="00D314F7" w:rsidP="00D314F7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>Dla każdego przedmiotu</w:t>
      </w:r>
      <w:r>
        <w:rPr>
          <w:rFonts w:ascii="Arial" w:hAnsi="Arial" w:cs="Arial"/>
          <w:sz w:val="24"/>
          <w:szCs w:val="20"/>
        </w:rPr>
        <w:t xml:space="preserve"> zamówienia Wykonawca oferujący </w:t>
      </w:r>
      <w:r w:rsidRPr="002F1C80">
        <w:rPr>
          <w:rFonts w:ascii="Arial" w:hAnsi="Arial" w:cs="Arial"/>
          <w:sz w:val="24"/>
          <w:szCs w:val="20"/>
        </w:rPr>
        <w:t>produkt „fabrycznie nowy”, zobligowany jest załączyć stosowne dokumenty:</w:t>
      </w:r>
    </w:p>
    <w:p w:rsidR="00D314F7" w:rsidRPr="002F1C80" w:rsidRDefault="00D314F7" w:rsidP="00D314F7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sz w:val="24"/>
        </w:rPr>
        <w:t>Certyfikat wystawiony przez niezależny podmiot akredytowany wraz z numerem certyfikacji dla systemu zarządzan</w:t>
      </w:r>
      <w:r>
        <w:rPr>
          <w:rFonts w:cs="Arial"/>
          <w:b w:val="0"/>
          <w:iCs/>
          <w:sz w:val="24"/>
        </w:rPr>
        <w:t>ia jakością (PN-EN ISO 9001:2015</w:t>
      </w:r>
      <w:r w:rsidRPr="002F1C80">
        <w:rPr>
          <w:rFonts w:cs="Arial"/>
          <w:b w:val="0"/>
          <w:iCs/>
          <w:sz w:val="24"/>
        </w:rPr>
        <w:t>) i systemu zarządzania środ</w:t>
      </w:r>
      <w:r>
        <w:rPr>
          <w:rFonts w:cs="Arial"/>
          <w:b w:val="0"/>
          <w:iCs/>
          <w:sz w:val="24"/>
        </w:rPr>
        <w:t>owiskowego (PN-EN ISO 14001:2015</w:t>
      </w:r>
      <w:r w:rsidRPr="002F1C80">
        <w:rPr>
          <w:rFonts w:cs="Arial"/>
          <w:b w:val="0"/>
          <w:iCs/>
          <w:sz w:val="24"/>
        </w:rPr>
        <w:t>) w zakresie wytwarzania materiałów eksploatacyjnych, dla każdego producenta</w:t>
      </w:r>
      <w:r>
        <w:rPr>
          <w:rFonts w:cs="Arial"/>
          <w:b w:val="0"/>
          <w:iCs/>
          <w:sz w:val="24"/>
        </w:rPr>
        <w:t xml:space="preserve"> dla którego Wykonawca oferuje </w:t>
      </w:r>
      <w:r w:rsidRPr="002F1C80">
        <w:rPr>
          <w:rFonts w:cs="Arial"/>
          <w:b w:val="0"/>
          <w:iCs/>
          <w:sz w:val="24"/>
        </w:rPr>
        <w:t>produkt „fabrycznie nowy”,</w:t>
      </w:r>
    </w:p>
    <w:p w:rsidR="00D314F7" w:rsidRPr="002F1C80" w:rsidRDefault="00D314F7" w:rsidP="00D314F7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color w:val="000000"/>
          <w:sz w:val="24"/>
        </w:rPr>
        <w:t xml:space="preserve">Kartę produktu producenta wskazanego w kolumnie nr 6 tabeli (załącznik nr </w:t>
      </w:r>
      <w:r w:rsidR="003F606B">
        <w:rPr>
          <w:rFonts w:cs="Arial"/>
          <w:b w:val="0"/>
          <w:iCs/>
          <w:color w:val="000000"/>
          <w:sz w:val="24"/>
        </w:rPr>
        <w:t>2b</w:t>
      </w:r>
      <w:r w:rsidRPr="002F1C80">
        <w:rPr>
          <w:rFonts w:cs="Arial"/>
          <w:b w:val="0"/>
          <w:iCs/>
          <w:color w:val="000000"/>
          <w:sz w:val="24"/>
        </w:rPr>
        <w:t>), zawierającą minimum następujące informacje:</w:t>
      </w:r>
    </w:p>
    <w:p w:rsidR="00D314F7" w:rsidRPr="002F1C80" w:rsidRDefault="00D314F7" w:rsidP="00D314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color w:val="000000"/>
          <w:sz w:val="24"/>
          <w:szCs w:val="20"/>
        </w:rPr>
      </w:pPr>
      <w:r w:rsidRPr="002F1C80">
        <w:rPr>
          <w:rFonts w:ascii="Arial" w:hAnsi="Arial" w:cs="Arial"/>
          <w:iCs/>
          <w:color w:val="000000"/>
          <w:sz w:val="24"/>
          <w:szCs w:val="20"/>
        </w:rPr>
        <w:lastRenderedPageBreak/>
        <w:t>nazwę producenta materiału eksploatacyjnego,</w:t>
      </w:r>
    </w:p>
    <w:p w:rsidR="00D314F7" w:rsidRPr="002F1C80" w:rsidRDefault="00D314F7" w:rsidP="00D314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producenta drukarki, do której jest oferowany produkt kompatybilny,</w:t>
      </w:r>
    </w:p>
    <w:p w:rsidR="00D314F7" w:rsidRPr="002F1C80" w:rsidRDefault="00D314F7" w:rsidP="00D314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modele lub nazwy urządzeń z jakimi produkt jest kompatybilny,</w:t>
      </w:r>
    </w:p>
    <w:p w:rsidR="00D314F7" w:rsidRPr="002F1C80" w:rsidRDefault="00D314F7" w:rsidP="00D314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oznaczenie produktu kompatybilnego, jego kod</w:t>
      </w:r>
    </w:p>
    <w:p w:rsidR="00D314F7" w:rsidRPr="002F1C80" w:rsidRDefault="00D314F7" w:rsidP="00D314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deklarowana wydajność.</w:t>
      </w:r>
    </w:p>
    <w:p w:rsidR="00D314F7" w:rsidRPr="002F1C80" w:rsidRDefault="00D314F7" w:rsidP="00D314F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laserowych urządzeń monoc</w:t>
      </w:r>
      <w:r>
        <w:rPr>
          <w:rFonts w:ascii="Arial" w:hAnsi="Arial" w:cs="Arial"/>
          <w:iCs/>
          <w:sz w:val="24"/>
          <w:szCs w:val="20"/>
        </w:rPr>
        <w:t xml:space="preserve">hromatycznych - raport z badań </w:t>
      </w:r>
      <w:r w:rsidRPr="002F1C80">
        <w:rPr>
          <w:rFonts w:ascii="Arial" w:hAnsi="Arial" w:cs="Arial"/>
          <w:iCs/>
          <w:sz w:val="24"/>
          <w:szCs w:val="20"/>
        </w:rPr>
        <w:t>wydajnościowych zgodnie z normą ISO/IEC 19752,</w:t>
      </w:r>
    </w:p>
    <w:p w:rsidR="00D314F7" w:rsidRPr="002F1C80" w:rsidRDefault="00D314F7" w:rsidP="00D314F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kolorowych urządzeń laserowych - raport z badań wydajnościowych zgodnie z normą ISO/IEC 19798,</w:t>
      </w:r>
    </w:p>
    <w:p w:rsidR="00D314F7" w:rsidRPr="002F1C80" w:rsidRDefault="00D314F7" w:rsidP="00D314F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 xml:space="preserve">w przypadku </w:t>
      </w:r>
      <w:r w:rsidRPr="002F1C80">
        <w:rPr>
          <w:rFonts w:ascii="Arial" w:hAnsi="Arial" w:cs="Arial"/>
          <w:color w:val="000000"/>
          <w:sz w:val="24"/>
          <w:szCs w:val="20"/>
        </w:rPr>
        <w:t>wkładów atramentowych - raport z badań wydajnościowych zgodnie z normą ISO/IEC 24711</w:t>
      </w:r>
      <w:r w:rsidRPr="002F1C80">
        <w:rPr>
          <w:rFonts w:ascii="Arial" w:hAnsi="Arial" w:cs="Arial"/>
          <w:sz w:val="24"/>
          <w:szCs w:val="20"/>
        </w:rPr>
        <w:t>.</w:t>
      </w:r>
    </w:p>
    <w:p w:rsidR="005118D4" w:rsidRPr="002F1C80" w:rsidRDefault="005118D4" w:rsidP="00D314F7">
      <w:pPr>
        <w:pStyle w:val="Default"/>
        <w:rPr>
          <w:iCs/>
          <w:szCs w:val="20"/>
        </w:rPr>
      </w:pPr>
    </w:p>
    <w:sectPr w:rsidR="005118D4" w:rsidRPr="002F1C80" w:rsidSect="009A02D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C5" w:rsidRDefault="00D249C5" w:rsidP="009A02DC">
      <w:pPr>
        <w:spacing w:after="0" w:line="240" w:lineRule="auto"/>
      </w:pPr>
      <w:r>
        <w:separator/>
      </w:r>
    </w:p>
  </w:endnote>
  <w:endnote w:type="continuationSeparator" w:id="0">
    <w:p w:rsidR="00D249C5" w:rsidRDefault="00D249C5" w:rsidP="009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9E3D9A" w:rsidRDefault="00CA1291" w:rsidP="009A02DC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C7731E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C7731E" w:rsidRPr="009E3D9A">
      <w:rPr>
        <w:rFonts w:ascii="Arial" w:hAnsi="Arial" w:cs="Arial"/>
        <w:sz w:val="20"/>
        <w:szCs w:val="20"/>
      </w:rPr>
      <w:fldChar w:fldCharType="separate"/>
    </w:r>
    <w:r w:rsidR="003F606B">
      <w:rPr>
        <w:rFonts w:ascii="Arial" w:hAnsi="Arial" w:cs="Arial"/>
        <w:noProof/>
        <w:sz w:val="20"/>
        <w:szCs w:val="20"/>
      </w:rPr>
      <w:t>3</w:t>
    </w:r>
    <w:r w:rsidR="00C7731E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C7731E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C7731E" w:rsidRPr="009E3D9A">
      <w:rPr>
        <w:rFonts w:ascii="Arial" w:hAnsi="Arial" w:cs="Arial"/>
        <w:sz w:val="20"/>
        <w:szCs w:val="20"/>
      </w:rPr>
      <w:fldChar w:fldCharType="separate"/>
    </w:r>
    <w:r w:rsidR="003F606B">
      <w:rPr>
        <w:rFonts w:ascii="Arial" w:hAnsi="Arial" w:cs="Arial"/>
        <w:noProof/>
        <w:sz w:val="20"/>
        <w:szCs w:val="20"/>
      </w:rPr>
      <w:t>3</w:t>
    </w:r>
    <w:r w:rsidR="00C7731E" w:rsidRPr="009E3D9A">
      <w:rPr>
        <w:rFonts w:ascii="Arial" w:hAnsi="Arial" w:cs="Arial"/>
        <w:sz w:val="20"/>
        <w:szCs w:val="20"/>
      </w:rPr>
      <w:fldChar w:fldCharType="end"/>
    </w:r>
  </w:p>
  <w:p w:rsidR="00CA1291" w:rsidRDefault="00CA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C5" w:rsidRDefault="00D249C5" w:rsidP="009A02DC">
      <w:pPr>
        <w:spacing w:after="0" w:line="240" w:lineRule="auto"/>
      </w:pPr>
      <w:r>
        <w:separator/>
      </w:r>
    </w:p>
  </w:footnote>
  <w:footnote w:type="continuationSeparator" w:id="0">
    <w:p w:rsidR="00D249C5" w:rsidRDefault="00D249C5" w:rsidP="009A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3F606B" w:rsidRDefault="003F606B" w:rsidP="003F606B">
    <w:pPr>
      <w:pStyle w:val="Tekstpodstawowy"/>
      <w:spacing w:after="60"/>
      <w:rPr>
        <w:rFonts w:ascii="Arial" w:hAnsi="Arial" w:cs="Arial"/>
        <w:b/>
        <w:color w:val="000000" w:themeColor="text1"/>
        <w:sz w:val="18"/>
      </w:rPr>
    </w:pPr>
    <w:r>
      <w:rPr>
        <w:rFonts w:ascii="Arial" w:hAnsi="Arial" w:cs="Arial"/>
        <w:b/>
        <w:color w:val="000000" w:themeColor="text1"/>
        <w:sz w:val="18"/>
      </w:rPr>
      <w:t>Załącznik nr 2bb – szczegółowa charakterystyka oferowanego przedmiotu zamówienia</w:t>
    </w:r>
    <w:r>
      <w:rPr>
        <w:rFonts w:ascii="Arial" w:hAnsi="Arial" w:cs="Arial"/>
        <w:b/>
        <w:color w:val="000000" w:themeColor="text1"/>
        <w:sz w:val="18"/>
      </w:rPr>
      <w:tab/>
      <w:t xml:space="preserve">         </w:t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color w:val="000000" w:themeColor="text1"/>
        <w:sz w:val="18"/>
        <w:u w:val="single"/>
      </w:rPr>
      <w:t>Numer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D1EDD"/>
    <w:multiLevelType w:val="hybridMultilevel"/>
    <w:tmpl w:val="5634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7F"/>
    <w:multiLevelType w:val="hybridMultilevel"/>
    <w:tmpl w:val="4F3062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7A63AC"/>
    <w:multiLevelType w:val="hybridMultilevel"/>
    <w:tmpl w:val="367A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F51"/>
    <w:multiLevelType w:val="hybridMultilevel"/>
    <w:tmpl w:val="55E22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304"/>
    <w:multiLevelType w:val="hybridMultilevel"/>
    <w:tmpl w:val="2DA6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5CD"/>
    <w:multiLevelType w:val="hybridMultilevel"/>
    <w:tmpl w:val="5D0CF04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F23F6"/>
    <w:multiLevelType w:val="hybridMultilevel"/>
    <w:tmpl w:val="BE4A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50DD4"/>
    <w:multiLevelType w:val="multilevel"/>
    <w:tmpl w:val="5888F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914042"/>
    <w:multiLevelType w:val="multilevel"/>
    <w:tmpl w:val="5888F2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4C49599F"/>
    <w:multiLevelType w:val="hybridMultilevel"/>
    <w:tmpl w:val="0284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501"/>
    <w:multiLevelType w:val="hybridMultilevel"/>
    <w:tmpl w:val="2B42ED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E025EB"/>
    <w:multiLevelType w:val="hybridMultilevel"/>
    <w:tmpl w:val="4CE8B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F0B63"/>
    <w:multiLevelType w:val="hybridMultilevel"/>
    <w:tmpl w:val="EC06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C6506"/>
    <w:multiLevelType w:val="hybridMultilevel"/>
    <w:tmpl w:val="E6D632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054D6"/>
    <w:multiLevelType w:val="hybridMultilevel"/>
    <w:tmpl w:val="6A580BFE"/>
    <w:lvl w:ilvl="0" w:tplc="04150017">
      <w:start w:val="1"/>
      <w:numFmt w:val="lowerLetter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6E7E1FDD"/>
    <w:multiLevelType w:val="hybridMultilevel"/>
    <w:tmpl w:val="3F20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FF68AB"/>
    <w:multiLevelType w:val="multilevel"/>
    <w:tmpl w:val="8D208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7C8C5B49"/>
    <w:multiLevelType w:val="hybridMultilevel"/>
    <w:tmpl w:val="833050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4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9"/>
  </w:num>
  <w:num w:numId="16">
    <w:abstractNumId w:val="5"/>
  </w:num>
  <w:num w:numId="17">
    <w:abstractNumId w:val="13"/>
  </w:num>
  <w:num w:numId="18">
    <w:abstractNumId w:val="1"/>
  </w:num>
  <w:num w:numId="19">
    <w:abstractNumId w:val="17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DC"/>
    <w:rsid w:val="00021B84"/>
    <w:rsid w:val="000258E3"/>
    <w:rsid w:val="000A0F9A"/>
    <w:rsid w:val="001D4526"/>
    <w:rsid w:val="001D5099"/>
    <w:rsid w:val="002A3DC6"/>
    <w:rsid w:val="002F1C80"/>
    <w:rsid w:val="003337F4"/>
    <w:rsid w:val="003F41AA"/>
    <w:rsid w:val="003F606B"/>
    <w:rsid w:val="00407A45"/>
    <w:rsid w:val="004B5E08"/>
    <w:rsid w:val="00503052"/>
    <w:rsid w:val="005118D4"/>
    <w:rsid w:val="005733DD"/>
    <w:rsid w:val="00600ECA"/>
    <w:rsid w:val="00646FD5"/>
    <w:rsid w:val="00673127"/>
    <w:rsid w:val="0067417E"/>
    <w:rsid w:val="00681881"/>
    <w:rsid w:val="007126BA"/>
    <w:rsid w:val="00746202"/>
    <w:rsid w:val="00757E1A"/>
    <w:rsid w:val="007E7FF2"/>
    <w:rsid w:val="00840931"/>
    <w:rsid w:val="00853E00"/>
    <w:rsid w:val="008570C3"/>
    <w:rsid w:val="008C6AA3"/>
    <w:rsid w:val="00947F2F"/>
    <w:rsid w:val="009A011D"/>
    <w:rsid w:val="009A02DC"/>
    <w:rsid w:val="009D27CB"/>
    <w:rsid w:val="00A24029"/>
    <w:rsid w:val="00AD12F1"/>
    <w:rsid w:val="00AD1D6A"/>
    <w:rsid w:val="00B216D0"/>
    <w:rsid w:val="00B44D9D"/>
    <w:rsid w:val="00B911EC"/>
    <w:rsid w:val="00BA3E0D"/>
    <w:rsid w:val="00BD75EB"/>
    <w:rsid w:val="00C0492B"/>
    <w:rsid w:val="00C146FF"/>
    <w:rsid w:val="00C167DF"/>
    <w:rsid w:val="00C7731E"/>
    <w:rsid w:val="00CA1291"/>
    <w:rsid w:val="00CB5F0D"/>
    <w:rsid w:val="00CC337A"/>
    <w:rsid w:val="00D249C5"/>
    <w:rsid w:val="00D314F7"/>
    <w:rsid w:val="00D67B96"/>
    <w:rsid w:val="00D7797D"/>
    <w:rsid w:val="00D81140"/>
    <w:rsid w:val="00DB647B"/>
    <w:rsid w:val="00DF370E"/>
    <w:rsid w:val="00E0309C"/>
    <w:rsid w:val="00E23BA5"/>
    <w:rsid w:val="00E7708B"/>
    <w:rsid w:val="00E938A7"/>
    <w:rsid w:val="00EB14FD"/>
    <w:rsid w:val="00EC4543"/>
    <w:rsid w:val="00EE2AB0"/>
    <w:rsid w:val="00F021B3"/>
    <w:rsid w:val="00F026FE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DC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A02DC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02DC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A02D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9A02DC"/>
    <w:rPr>
      <w:rFonts w:ascii="Arial" w:eastAsia="Times New Roman" w:hAnsi="Arial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A02DC"/>
    <w:pPr>
      <w:spacing w:after="0" w:line="240" w:lineRule="auto"/>
      <w:ind w:left="708"/>
      <w:jc w:val="both"/>
    </w:pPr>
    <w:rPr>
      <w:rFonts w:ascii="Arial" w:eastAsia="Times New Roman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02DC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02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A0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2DC"/>
    <w:rPr>
      <w:rFonts w:ascii="Calibri" w:eastAsia="Calibri" w:hAnsi="Calibri" w:cs="Times New Roman"/>
    </w:rPr>
  </w:style>
  <w:style w:type="paragraph" w:customStyle="1" w:styleId="Default">
    <w:name w:val="Default"/>
    <w:rsid w:val="009A0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41</cp:revision>
  <cp:lastPrinted>2019-02-11T09:14:00Z</cp:lastPrinted>
  <dcterms:created xsi:type="dcterms:W3CDTF">2019-02-06T12:14:00Z</dcterms:created>
  <dcterms:modified xsi:type="dcterms:W3CDTF">2022-08-01T07:20:00Z</dcterms:modified>
</cp:coreProperties>
</file>