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lastRenderedPageBreak/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3C281BE9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="00CD1382">
        <w:rPr>
          <w:rFonts w:ascii="Arial" w:hAnsi="Arial" w:cs="Arial"/>
          <w:sz w:val="21"/>
          <w:szCs w:val="21"/>
        </w:rPr>
        <w:t>. D</w:t>
      </w:r>
      <w:r w:rsidR="00CD1382" w:rsidRPr="00CD1382">
        <w:rPr>
          <w:rFonts w:ascii="Arial" w:hAnsi="Arial" w:cs="Arial"/>
          <w:b/>
          <w:sz w:val="21"/>
          <w:szCs w:val="21"/>
        </w:rPr>
        <w:t xml:space="preserve">ostawa </w:t>
      </w:r>
      <w:r w:rsidR="00D81DA3">
        <w:rPr>
          <w:rFonts w:ascii="Arial" w:hAnsi="Arial" w:cs="Arial"/>
          <w:b/>
          <w:sz w:val="21"/>
          <w:szCs w:val="21"/>
        </w:rPr>
        <w:t>pojazdów</w:t>
      </w:r>
      <w:bookmarkStart w:id="0" w:name="_GoBack"/>
      <w:bookmarkEnd w:id="0"/>
      <w:r w:rsidR="00D81DA3">
        <w:rPr>
          <w:rFonts w:ascii="Arial" w:hAnsi="Arial" w:cs="Arial"/>
          <w:b/>
          <w:sz w:val="21"/>
          <w:szCs w:val="21"/>
        </w:rPr>
        <w:t xml:space="preserve"> typu furgon patrolowy </w:t>
      </w:r>
      <w:r w:rsidR="00CD1382" w:rsidRPr="00CD1382">
        <w:rPr>
          <w:rFonts w:ascii="Arial" w:hAnsi="Arial" w:cs="Arial"/>
          <w:b/>
          <w:sz w:val="21"/>
          <w:szCs w:val="21"/>
        </w:rPr>
        <w:t>w policyjnej wersji oznakowanej, sprawa nr PU-2380-</w:t>
      </w:r>
      <w:r w:rsidR="00545807">
        <w:rPr>
          <w:rFonts w:ascii="Arial" w:hAnsi="Arial" w:cs="Arial"/>
          <w:b/>
          <w:sz w:val="21"/>
          <w:szCs w:val="21"/>
        </w:rPr>
        <w:t>003-042-002/2025</w:t>
      </w:r>
      <w:r w:rsidR="00CD1382" w:rsidRPr="00CD1382">
        <w:rPr>
          <w:rFonts w:ascii="Arial" w:hAnsi="Arial" w:cs="Arial"/>
          <w:b/>
          <w:sz w:val="21"/>
          <w:szCs w:val="21"/>
        </w:rPr>
        <w:t>/ML</w:t>
      </w:r>
      <w:r w:rsidR="00EA0E57" w:rsidRPr="00EA0E57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3BA4C03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2023 r. poz. 1497 ze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E9C2E" w14:textId="77777777" w:rsidR="00A64757" w:rsidRDefault="00A64757" w:rsidP="00EF45B6">
      <w:pPr>
        <w:spacing w:after="0" w:line="240" w:lineRule="auto"/>
      </w:pPr>
      <w:r>
        <w:separator/>
      </w:r>
    </w:p>
  </w:endnote>
  <w:endnote w:type="continuationSeparator" w:id="0">
    <w:p w14:paraId="53E14216" w14:textId="77777777" w:rsidR="00A64757" w:rsidRDefault="00A6475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7C935" w14:textId="77777777" w:rsidR="00A64757" w:rsidRDefault="00A64757" w:rsidP="00EF45B6">
      <w:pPr>
        <w:spacing w:after="0" w:line="240" w:lineRule="auto"/>
      </w:pPr>
      <w:r>
        <w:separator/>
      </w:r>
    </w:p>
  </w:footnote>
  <w:footnote w:type="continuationSeparator" w:id="0">
    <w:p w14:paraId="3EF56D58" w14:textId="77777777" w:rsidR="00A64757" w:rsidRDefault="00A6475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835AB" w14:textId="333A2C59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3.1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PU-2380-</w:t>
    </w:r>
    <w:r w:rsidR="00545807">
      <w:rPr>
        <w:rFonts w:ascii="Verdana" w:hAnsi="Verdana"/>
        <w:noProof/>
        <w:sz w:val="20"/>
        <w:szCs w:val="20"/>
        <w:lang w:eastAsia="pl-PL"/>
      </w:rPr>
      <w:t>003-042-002/2025</w:t>
    </w:r>
    <w:r w:rsidR="00894F97" w:rsidRPr="00894F97">
      <w:rPr>
        <w:rFonts w:ascii="Verdana" w:hAnsi="Verdana"/>
        <w:noProof/>
        <w:sz w:val="20"/>
        <w:szCs w:val="20"/>
        <w:lang w:eastAsia="pl-PL"/>
      </w:rPr>
      <w:t>/ML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45807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64757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382"/>
    <w:rsid w:val="00CD2FC0"/>
    <w:rsid w:val="00CF6647"/>
    <w:rsid w:val="00D13E55"/>
    <w:rsid w:val="00D37BC3"/>
    <w:rsid w:val="00D556E3"/>
    <w:rsid w:val="00D6317D"/>
    <w:rsid w:val="00D81DA3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2EF9-A462-4764-802F-9E6DCBFD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2058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Lenik</cp:lastModifiedBy>
  <cp:revision>17</cp:revision>
  <cp:lastPrinted>2022-05-09T08:00:00Z</cp:lastPrinted>
  <dcterms:created xsi:type="dcterms:W3CDTF">2022-05-09T07:35:00Z</dcterms:created>
  <dcterms:modified xsi:type="dcterms:W3CDTF">2025-02-10T09:18:00Z</dcterms:modified>
</cp:coreProperties>
</file>