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1F68F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125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1F68F2" w:rsidRDefault="004D39EA" w:rsidP="001F68F2">
      <w:pPr>
        <w:tabs>
          <w:tab w:val="left" w:pos="6379"/>
        </w:tabs>
        <w:suppressAutoHyphens/>
        <w:autoSpaceDN w:val="0"/>
        <w:spacing w:after="0" w:line="240" w:lineRule="auto"/>
        <w:jc w:val="center"/>
        <w:rPr>
          <w:rFonts w:eastAsia="Times New Roman"/>
          <w:b/>
          <w:i/>
          <w:sz w:val="28"/>
          <w:szCs w:val="28"/>
          <w:lang w:eastAsia="zh-CN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1F68F2" w:rsidRPr="0034596F">
        <w:rPr>
          <w:rFonts w:eastAsia="Times New Roman"/>
          <w:b/>
          <w:i/>
          <w:sz w:val="28"/>
          <w:szCs w:val="28"/>
          <w:lang w:eastAsia="zh-CN"/>
        </w:rPr>
        <w:t>Zestaw do oceny mutacji w genach PDGFR i cKIT w celu kwalifikacji do leczenia nowotworów podścieliska przewodu pokarmowego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8F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1F68F2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82FB5"/>
    <w:rsid w:val="00B97BB6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43</cp:revision>
  <cp:lastPrinted>2021-03-30T05:40:00Z</cp:lastPrinted>
  <dcterms:created xsi:type="dcterms:W3CDTF">2021-01-30T18:42:00Z</dcterms:created>
  <dcterms:modified xsi:type="dcterms:W3CDTF">2022-10-06T09:26:00Z</dcterms:modified>
</cp:coreProperties>
</file>