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F714A" w14:textId="77777777" w:rsidR="00B3028D" w:rsidRPr="00B3028D" w:rsidRDefault="00B3028D" w:rsidP="00B3028D">
      <w:pPr>
        <w:jc w:val="center"/>
        <w:rPr>
          <w:b/>
          <w:sz w:val="28"/>
        </w:rPr>
      </w:pPr>
      <w:r w:rsidRPr="00B3028D">
        <w:rPr>
          <w:b/>
          <w:sz w:val="28"/>
        </w:rPr>
        <w:t>CZEŚĆ NR III - OPIS PRZEDMIOTU ZAMÓWIENIA</w:t>
      </w:r>
    </w:p>
    <w:p w14:paraId="531D4B8D" w14:textId="77777777" w:rsidR="00F04FF4" w:rsidRPr="00CC1421" w:rsidRDefault="00F04FF4" w:rsidP="00F04FF4">
      <w:pPr>
        <w:jc w:val="right"/>
        <w:rPr>
          <w:color w:val="FF0000"/>
        </w:rPr>
      </w:pPr>
    </w:p>
    <w:p w14:paraId="25E85231" w14:textId="589243FE" w:rsidR="00F04FF4" w:rsidRDefault="00F04FF4" w:rsidP="00DE225E">
      <w:pPr>
        <w:shd w:val="clear" w:color="auto" w:fill="FFFFFF"/>
        <w:tabs>
          <w:tab w:val="left" w:pos="0"/>
        </w:tabs>
        <w:spacing w:line="276" w:lineRule="auto"/>
        <w:jc w:val="both"/>
        <w:rPr>
          <w:sz w:val="24"/>
          <w:szCs w:val="24"/>
        </w:rPr>
      </w:pPr>
      <w:r w:rsidRPr="0099205C">
        <w:rPr>
          <w:sz w:val="24"/>
          <w:szCs w:val="24"/>
        </w:rPr>
        <w:t xml:space="preserve">Przedmiotem </w:t>
      </w:r>
      <w:r>
        <w:rPr>
          <w:sz w:val="24"/>
          <w:szCs w:val="24"/>
        </w:rPr>
        <w:t>zamówienia</w:t>
      </w:r>
      <w:r w:rsidRPr="0099205C">
        <w:rPr>
          <w:sz w:val="24"/>
          <w:szCs w:val="24"/>
        </w:rPr>
        <w:t xml:space="preserve"> jest </w:t>
      </w:r>
      <w:r w:rsidR="00B3028D">
        <w:rPr>
          <w:sz w:val="24"/>
          <w:szCs w:val="24"/>
        </w:rPr>
        <w:t>sukcesywne wykonanie</w:t>
      </w:r>
      <w:r w:rsidRPr="0099205C">
        <w:rPr>
          <w:sz w:val="24"/>
          <w:szCs w:val="24"/>
        </w:rPr>
        <w:t xml:space="preserve"> usługi serwisowania</w:t>
      </w:r>
      <w:r w:rsidR="00ED445A">
        <w:rPr>
          <w:sz w:val="24"/>
          <w:szCs w:val="24"/>
        </w:rPr>
        <w:t xml:space="preserve"> </w:t>
      </w:r>
      <w:r w:rsidR="002A6A4B">
        <w:rPr>
          <w:sz w:val="24"/>
          <w:szCs w:val="24"/>
        </w:rPr>
        <w:t>/</w:t>
      </w:r>
      <w:r w:rsidR="00ED445A">
        <w:rPr>
          <w:sz w:val="24"/>
          <w:szCs w:val="24"/>
        </w:rPr>
        <w:t xml:space="preserve"> </w:t>
      </w:r>
      <w:r w:rsidR="002A6A4B">
        <w:rPr>
          <w:sz w:val="24"/>
          <w:szCs w:val="24"/>
        </w:rPr>
        <w:t>obsługi</w:t>
      </w:r>
      <w:r>
        <w:rPr>
          <w:sz w:val="24"/>
          <w:szCs w:val="24"/>
        </w:rPr>
        <w:t xml:space="preserve"> aparatów tlenowych </w:t>
      </w:r>
      <w:r w:rsidRPr="0099205C">
        <w:rPr>
          <w:sz w:val="24"/>
          <w:szCs w:val="24"/>
        </w:rPr>
        <w:t>znajdujących się na wyposażeniu Zamawiającego</w:t>
      </w:r>
      <w:r w:rsidR="002A6A4B">
        <w:rPr>
          <w:sz w:val="24"/>
          <w:szCs w:val="24"/>
        </w:rPr>
        <w:t xml:space="preserve"> w </w:t>
      </w:r>
      <w:r w:rsidR="00B3028D">
        <w:rPr>
          <w:sz w:val="24"/>
          <w:szCs w:val="24"/>
        </w:rPr>
        <w:t xml:space="preserve">poniższym </w:t>
      </w:r>
      <w:r w:rsidR="002A6A4B">
        <w:rPr>
          <w:sz w:val="24"/>
          <w:szCs w:val="24"/>
        </w:rPr>
        <w:t>zakresie</w:t>
      </w:r>
      <w:r w:rsidR="002415F2">
        <w:rPr>
          <w:sz w:val="24"/>
          <w:szCs w:val="24"/>
        </w:rPr>
        <w:t>, przez</w:t>
      </w:r>
      <w:r w:rsidR="00C33030">
        <w:rPr>
          <w:sz w:val="24"/>
          <w:szCs w:val="24"/>
        </w:rPr>
        <w:t> </w:t>
      </w:r>
      <w:r w:rsidR="002415F2">
        <w:rPr>
          <w:sz w:val="24"/>
          <w:szCs w:val="24"/>
        </w:rPr>
        <w:t>okres 36 miesięcy</w:t>
      </w:r>
      <w:r>
        <w:rPr>
          <w:sz w:val="24"/>
          <w:szCs w:val="24"/>
        </w:rPr>
        <w:t>:</w:t>
      </w:r>
    </w:p>
    <w:p w14:paraId="1DC1E6CB" w14:textId="77777777" w:rsidR="00DE225E" w:rsidRDefault="00DE225E" w:rsidP="00DE225E">
      <w:pPr>
        <w:shd w:val="clear" w:color="auto" w:fill="FFFFFF"/>
        <w:tabs>
          <w:tab w:val="left" w:pos="0"/>
        </w:tabs>
        <w:spacing w:line="276" w:lineRule="auto"/>
        <w:jc w:val="both"/>
        <w:rPr>
          <w:sz w:val="24"/>
          <w:szCs w:val="24"/>
        </w:rPr>
      </w:pPr>
    </w:p>
    <w:tbl>
      <w:tblPr>
        <w:tblStyle w:val="Tabela-Siatka"/>
        <w:tblW w:w="0" w:type="auto"/>
        <w:tblLook w:val="04A0" w:firstRow="1" w:lastRow="0" w:firstColumn="1" w:lastColumn="0" w:noHBand="0" w:noVBand="1"/>
      </w:tblPr>
      <w:tblGrid>
        <w:gridCol w:w="704"/>
        <w:gridCol w:w="6379"/>
        <w:gridCol w:w="1979"/>
      </w:tblGrid>
      <w:tr w:rsidR="00CB5390" w14:paraId="2658CA5A" w14:textId="77777777" w:rsidTr="00DE225E">
        <w:trPr>
          <w:cantSplit/>
          <w:trHeight w:val="2019"/>
        </w:trPr>
        <w:tc>
          <w:tcPr>
            <w:tcW w:w="704" w:type="dxa"/>
            <w:vAlign w:val="center"/>
          </w:tcPr>
          <w:p w14:paraId="6B4E6730" w14:textId="38788EA9" w:rsidR="00CB5390" w:rsidRPr="00DE225E" w:rsidRDefault="00CB5390" w:rsidP="00DE225E">
            <w:pPr>
              <w:tabs>
                <w:tab w:val="left" w:pos="0"/>
              </w:tabs>
              <w:spacing w:line="360" w:lineRule="auto"/>
              <w:jc w:val="center"/>
              <w:rPr>
                <w:b/>
                <w:bCs/>
                <w:sz w:val="24"/>
                <w:szCs w:val="24"/>
              </w:rPr>
            </w:pPr>
            <w:r w:rsidRPr="00DE225E">
              <w:rPr>
                <w:b/>
                <w:bCs/>
                <w:sz w:val="24"/>
                <w:szCs w:val="24"/>
              </w:rPr>
              <w:t>l.p.</w:t>
            </w:r>
          </w:p>
        </w:tc>
        <w:tc>
          <w:tcPr>
            <w:tcW w:w="6379" w:type="dxa"/>
            <w:vAlign w:val="center"/>
          </w:tcPr>
          <w:p w14:paraId="39D9911A" w14:textId="7F6EFB6A" w:rsidR="00CB5390" w:rsidRPr="00DE225E" w:rsidRDefault="00CB5390" w:rsidP="00DE225E">
            <w:pPr>
              <w:tabs>
                <w:tab w:val="left" w:pos="0"/>
              </w:tabs>
              <w:spacing w:line="360" w:lineRule="auto"/>
              <w:jc w:val="center"/>
              <w:rPr>
                <w:b/>
                <w:bCs/>
                <w:sz w:val="24"/>
                <w:szCs w:val="24"/>
              </w:rPr>
            </w:pPr>
            <w:r w:rsidRPr="00DE225E">
              <w:rPr>
                <w:b/>
                <w:bCs/>
                <w:sz w:val="24"/>
                <w:szCs w:val="24"/>
              </w:rPr>
              <w:t>Rodzaj serwisu / obsługi</w:t>
            </w:r>
          </w:p>
        </w:tc>
        <w:tc>
          <w:tcPr>
            <w:tcW w:w="1979" w:type="dxa"/>
            <w:textDirection w:val="btLr"/>
            <w:vAlign w:val="center"/>
          </w:tcPr>
          <w:p w14:paraId="6AA0653D" w14:textId="7FAE3DDC" w:rsidR="00CB5390" w:rsidRPr="00DE225E" w:rsidRDefault="00CB5390" w:rsidP="00DE225E">
            <w:pPr>
              <w:tabs>
                <w:tab w:val="left" w:pos="0"/>
              </w:tabs>
              <w:ind w:left="113" w:right="113"/>
              <w:jc w:val="center"/>
              <w:rPr>
                <w:b/>
                <w:bCs/>
                <w:sz w:val="24"/>
                <w:szCs w:val="24"/>
              </w:rPr>
            </w:pPr>
            <w:r w:rsidRPr="00DE225E">
              <w:rPr>
                <w:b/>
                <w:bCs/>
                <w:sz w:val="24"/>
                <w:szCs w:val="24"/>
              </w:rPr>
              <w:t>Maksymalna liczba wykonanej usługi przez okres 36 m-</w:t>
            </w:r>
            <w:proofErr w:type="spellStart"/>
            <w:r w:rsidRPr="00DE225E">
              <w:rPr>
                <w:b/>
                <w:bCs/>
                <w:sz w:val="24"/>
                <w:szCs w:val="24"/>
              </w:rPr>
              <w:t>cy</w:t>
            </w:r>
            <w:proofErr w:type="spellEnd"/>
          </w:p>
        </w:tc>
      </w:tr>
      <w:tr w:rsidR="00CB5390" w14:paraId="70773F61" w14:textId="77777777" w:rsidTr="00CB5390">
        <w:tc>
          <w:tcPr>
            <w:tcW w:w="704" w:type="dxa"/>
            <w:vAlign w:val="center"/>
          </w:tcPr>
          <w:p w14:paraId="37579578" w14:textId="58A7F42A" w:rsidR="00CB5390" w:rsidRPr="00DE225E" w:rsidRDefault="00CB5390" w:rsidP="00CB5390">
            <w:pPr>
              <w:tabs>
                <w:tab w:val="left" w:pos="0"/>
              </w:tabs>
              <w:spacing w:before="240" w:after="240" w:line="276" w:lineRule="auto"/>
              <w:jc w:val="center"/>
              <w:rPr>
                <w:sz w:val="24"/>
                <w:szCs w:val="24"/>
              </w:rPr>
            </w:pPr>
            <w:r w:rsidRPr="00DE225E">
              <w:rPr>
                <w:sz w:val="24"/>
                <w:szCs w:val="24"/>
              </w:rPr>
              <w:t>1.</w:t>
            </w:r>
          </w:p>
        </w:tc>
        <w:tc>
          <w:tcPr>
            <w:tcW w:w="6379" w:type="dxa"/>
            <w:vAlign w:val="center"/>
          </w:tcPr>
          <w:p w14:paraId="360DEDF8" w14:textId="5A9D9C9C" w:rsidR="00CB5390" w:rsidRPr="00DE225E" w:rsidRDefault="00CB5390" w:rsidP="00CB5390">
            <w:pPr>
              <w:tabs>
                <w:tab w:val="left" w:pos="0"/>
              </w:tabs>
              <w:spacing w:before="240" w:after="240"/>
              <w:rPr>
                <w:sz w:val="24"/>
                <w:szCs w:val="24"/>
              </w:rPr>
            </w:pPr>
            <w:r w:rsidRPr="00DE225E">
              <w:rPr>
                <w:sz w:val="24"/>
                <w:szCs w:val="24"/>
              </w:rPr>
              <w:t>Przegląd oraz serwis butli tlenowej PHAOS Single 88w</w:t>
            </w:r>
          </w:p>
        </w:tc>
        <w:tc>
          <w:tcPr>
            <w:tcW w:w="1979" w:type="dxa"/>
            <w:vAlign w:val="center"/>
          </w:tcPr>
          <w:p w14:paraId="4F6F009C" w14:textId="5CD338BF" w:rsidR="00CB5390" w:rsidRPr="00DE225E" w:rsidRDefault="00DE225E" w:rsidP="00CB5390">
            <w:pPr>
              <w:tabs>
                <w:tab w:val="left" w:pos="0"/>
              </w:tabs>
              <w:spacing w:before="240" w:after="240" w:line="360" w:lineRule="auto"/>
              <w:jc w:val="center"/>
              <w:rPr>
                <w:sz w:val="24"/>
                <w:szCs w:val="24"/>
              </w:rPr>
            </w:pPr>
            <w:r>
              <w:rPr>
                <w:sz w:val="24"/>
                <w:szCs w:val="24"/>
              </w:rPr>
              <w:t>max.</w:t>
            </w:r>
            <w:r w:rsidR="00EF0592">
              <w:rPr>
                <w:sz w:val="24"/>
                <w:szCs w:val="24"/>
              </w:rPr>
              <w:t xml:space="preserve"> 45 szt.</w:t>
            </w:r>
          </w:p>
        </w:tc>
      </w:tr>
      <w:tr w:rsidR="00EF0592" w14:paraId="6132E185" w14:textId="77777777" w:rsidTr="008B09D9">
        <w:tc>
          <w:tcPr>
            <w:tcW w:w="704" w:type="dxa"/>
            <w:vAlign w:val="center"/>
          </w:tcPr>
          <w:p w14:paraId="29C75CDB" w14:textId="711803A5" w:rsidR="00EF0592" w:rsidRPr="00DE225E" w:rsidRDefault="00EF0592" w:rsidP="00EF0592">
            <w:pPr>
              <w:tabs>
                <w:tab w:val="left" w:pos="0"/>
              </w:tabs>
              <w:spacing w:before="240" w:after="240" w:line="276" w:lineRule="auto"/>
              <w:jc w:val="center"/>
              <w:rPr>
                <w:sz w:val="24"/>
                <w:szCs w:val="24"/>
              </w:rPr>
            </w:pPr>
            <w:r w:rsidRPr="00DE225E">
              <w:rPr>
                <w:sz w:val="24"/>
                <w:szCs w:val="24"/>
              </w:rPr>
              <w:t>2.</w:t>
            </w:r>
          </w:p>
        </w:tc>
        <w:tc>
          <w:tcPr>
            <w:tcW w:w="6379" w:type="dxa"/>
            <w:vAlign w:val="center"/>
          </w:tcPr>
          <w:p w14:paraId="604217B2" w14:textId="683DA988" w:rsidR="00EF0592" w:rsidRPr="00DE225E" w:rsidRDefault="00EF0592" w:rsidP="00EF0592">
            <w:pPr>
              <w:tabs>
                <w:tab w:val="left" w:pos="0"/>
              </w:tabs>
              <w:spacing w:before="240" w:after="240"/>
              <w:rPr>
                <w:sz w:val="24"/>
                <w:szCs w:val="24"/>
              </w:rPr>
            </w:pPr>
            <w:r w:rsidRPr="00DE225E">
              <w:rPr>
                <w:sz w:val="24"/>
                <w:szCs w:val="24"/>
              </w:rPr>
              <w:t>Test hydrostatyczny butli tlenowej PHAOS Single 88</w:t>
            </w:r>
          </w:p>
        </w:tc>
        <w:tc>
          <w:tcPr>
            <w:tcW w:w="1979" w:type="dxa"/>
          </w:tcPr>
          <w:p w14:paraId="6293F535" w14:textId="30DF56B9" w:rsidR="00EF0592" w:rsidRPr="00DE225E" w:rsidRDefault="00EF0592" w:rsidP="00EF0592">
            <w:pPr>
              <w:tabs>
                <w:tab w:val="left" w:pos="0"/>
              </w:tabs>
              <w:spacing w:before="240" w:after="240" w:line="360" w:lineRule="auto"/>
              <w:jc w:val="center"/>
              <w:rPr>
                <w:sz w:val="24"/>
                <w:szCs w:val="24"/>
              </w:rPr>
            </w:pPr>
            <w:r w:rsidRPr="00FC4168">
              <w:rPr>
                <w:sz w:val="24"/>
                <w:szCs w:val="24"/>
              </w:rPr>
              <w:t>max.</w:t>
            </w:r>
            <w:r>
              <w:rPr>
                <w:sz w:val="24"/>
                <w:szCs w:val="24"/>
              </w:rPr>
              <w:t xml:space="preserve"> 45 szt. </w:t>
            </w:r>
          </w:p>
        </w:tc>
      </w:tr>
      <w:tr w:rsidR="00EF0592" w14:paraId="219E11B2" w14:textId="77777777" w:rsidTr="008B09D9">
        <w:tc>
          <w:tcPr>
            <w:tcW w:w="704" w:type="dxa"/>
            <w:vAlign w:val="center"/>
          </w:tcPr>
          <w:p w14:paraId="7802A166" w14:textId="54298D8D" w:rsidR="00EF0592" w:rsidRPr="00DE225E" w:rsidRDefault="00EF0592" w:rsidP="00EF0592">
            <w:pPr>
              <w:tabs>
                <w:tab w:val="left" w:pos="0"/>
              </w:tabs>
              <w:spacing w:before="240" w:after="240" w:line="276" w:lineRule="auto"/>
              <w:jc w:val="center"/>
              <w:rPr>
                <w:sz w:val="24"/>
                <w:szCs w:val="24"/>
              </w:rPr>
            </w:pPr>
            <w:r w:rsidRPr="00DE225E">
              <w:rPr>
                <w:sz w:val="24"/>
                <w:szCs w:val="24"/>
              </w:rPr>
              <w:t>3.</w:t>
            </w:r>
          </w:p>
        </w:tc>
        <w:tc>
          <w:tcPr>
            <w:tcW w:w="6379" w:type="dxa"/>
            <w:vAlign w:val="center"/>
          </w:tcPr>
          <w:p w14:paraId="17F6D073" w14:textId="01F0D874" w:rsidR="00EF0592" w:rsidRPr="00DE225E" w:rsidRDefault="00EF0592" w:rsidP="00EF0592">
            <w:pPr>
              <w:tabs>
                <w:tab w:val="left" w:pos="0"/>
              </w:tabs>
              <w:spacing w:before="240" w:after="240"/>
              <w:rPr>
                <w:sz w:val="24"/>
                <w:szCs w:val="24"/>
              </w:rPr>
            </w:pPr>
            <w:r w:rsidRPr="00DE225E">
              <w:rPr>
                <w:sz w:val="24"/>
                <w:szCs w:val="24"/>
              </w:rPr>
              <w:t>Przegląd oraz kompletny serwis maski tlenowej PHAOS</w:t>
            </w:r>
          </w:p>
        </w:tc>
        <w:tc>
          <w:tcPr>
            <w:tcW w:w="1979" w:type="dxa"/>
          </w:tcPr>
          <w:p w14:paraId="72A79222" w14:textId="7CC618BA" w:rsidR="00EF0592" w:rsidRPr="00DE225E" w:rsidRDefault="00EF0592" w:rsidP="00EF0592">
            <w:pPr>
              <w:tabs>
                <w:tab w:val="left" w:pos="0"/>
              </w:tabs>
              <w:spacing w:before="240" w:after="240" w:line="360" w:lineRule="auto"/>
              <w:jc w:val="center"/>
              <w:rPr>
                <w:sz w:val="24"/>
                <w:szCs w:val="24"/>
              </w:rPr>
            </w:pPr>
            <w:r w:rsidRPr="00FC4168">
              <w:rPr>
                <w:sz w:val="24"/>
                <w:szCs w:val="24"/>
              </w:rPr>
              <w:t>max.</w:t>
            </w:r>
            <w:r>
              <w:rPr>
                <w:sz w:val="24"/>
                <w:szCs w:val="24"/>
              </w:rPr>
              <w:t xml:space="preserve"> 120 szt.</w:t>
            </w:r>
          </w:p>
        </w:tc>
      </w:tr>
      <w:tr w:rsidR="00EF0592" w14:paraId="4E50FD02" w14:textId="77777777" w:rsidTr="008B09D9">
        <w:tc>
          <w:tcPr>
            <w:tcW w:w="704" w:type="dxa"/>
            <w:vAlign w:val="center"/>
          </w:tcPr>
          <w:p w14:paraId="4819B081" w14:textId="2448E67D" w:rsidR="00EF0592" w:rsidRPr="00DE225E" w:rsidRDefault="00EF0592" w:rsidP="00EF0592">
            <w:pPr>
              <w:tabs>
                <w:tab w:val="left" w:pos="0"/>
              </w:tabs>
              <w:spacing w:before="240" w:after="240" w:line="276" w:lineRule="auto"/>
              <w:jc w:val="center"/>
              <w:rPr>
                <w:sz w:val="24"/>
                <w:szCs w:val="24"/>
              </w:rPr>
            </w:pPr>
            <w:r w:rsidRPr="00DE225E">
              <w:rPr>
                <w:sz w:val="24"/>
                <w:szCs w:val="24"/>
              </w:rPr>
              <w:t>4.</w:t>
            </w:r>
          </w:p>
        </w:tc>
        <w:tc>
          <w:tcPr>
            <w:tcW w:w="6379" w:type="dxa"/>
            <w:vAlign w:val="center"/>
          </w:tcPr>
          <w:p w14:paraId="1C9532B6" w14:textId="48C049B7" w:rsidR="00EF0592" w:rsidRPr="00DE225E" w:rsidRDefault="00EF0592" w:rsidP="00EF0592">
            <w:pPr>
              <w:tabs>
                <w:tab w:val="left" w:pos="0"/>
              </w:tabs>
              <w:spacing w:before="240" w:after="240"/>
              <w:rPr>
                <w:sz w:val="24"/>
                <w:szCs w:val="24"/>
              </w:rPr>
            </w:pPr>
            <w:r w:rsidRPr="00DE225E">
              <w:rPr>
                <w:sz w:val="24"/>
                <w:szCs w:val="24"/>
              </w:rPr>
              <w:t>Przegląd oraz kompletny serwis konsoli tlenowej OXCON 1850 psi 6 lub 8 osobowej</w:t>
            </w:r>
          </w:p>
        </w:tc>
        <w:tc>
          <w:tcPr>
            <w:tcW w:w="1979" w:type="dxa"/>
          </w:tcPr>
          <w:p w14:paraId="22C72E89" w14:textId="5503035E" w:rsidR="00EF0592" w:rsidRPr="00DE225E" w:rsidRDefault="00EF0592" w:rsidP="00EF0592">
            <w:pPr>
              <w:tabs>
                <w:tab w:val="left" w:pos="0"/>
              </w:tabs>
              <w:spacing w:before="240" w:after="240" w:line="360" w:lineRule="auto"/>
              <w:jc w:val="center"/>
              <w:rPr>
                <w:sz w:val="24"/>
                <w:szCs w:val="24"/>
              </w:rPr>
            </w:pPr>
            <w:r w:rsidRPr="00FC4168">
              <w:rPr>
                <w:sz w:val="24"/>
                <w:szCs w:val="24"/>
              </w:rPr>
              <w:t>max.</w:t>
            </w:r>
            <w:r>
              <w:rPr>
                <w:sz w:val="24"/>
                <w:szCs w:val="24"/>
              </w:rPr>
              <w:t xml:space="preserve"> 10 szt. </w:t>
            </w:r>
          </w:p>
        </w:tc>
      </w:tr>
      <w:tr w:rsidR="00EF0592" w14:paraId="617DB123" w14:textId="77777777" w:rsidTr="008B09D9">
        <w:tc>
          <w:tcPr>
            <w:tcW w:w="704" w:type="dxa"/>
            <w:vAlign w:val="center"/>
          </w:tcPr>
          <w:p w14:paraId="14071B42" w14:textId="0AA78EBE" w:rsidR="00EF0592" w:rsidRPr="00DE225E" w:rsidRDefault="00EF0592" w:rsidP="00EF0592">
            <w:pPr>
              <w:tabs>
                <w:tab w:val="left" w:pos="0"/>
              </w:tabs>
              <w:spacing w:before="240" w:after="240" w:line="276" w:lineRule="auto"/>
              <w:jc w:val="center"/>
              <w:rPr>
                <w:sz w:val="24"/>
                <w:szCs w:val="24"/>
              </w:rPr>
            </w:pPr>
            <w:r w:rsidRPr="00DE225E">
              <w:rPr>
                <w:sz w:val="24"/>
                <w:szCs w:val="24"/>
              </w:rPr>
              <w:t>5.</w:t>
            </w:r>
          </w:p>
        </w:tc>
        <w:tc>
          <w:tcPr>
            <w:tcW w:w="6379" w:type="dxa"/>
            <w:vAlign w:val="center"/>
          </w:tcPr>
          <w:p w14:paraId="6FAD6B2C" w14:textId="7E918ECF" w:rsidR="00EF0592" w:rsidRPr="00DE225E" w:rsidRDefault="00EF0592" w:rsidP="00EF0592">
            <w:pPr>
              <w:tabs>
                <w:tab w:val="left" w:pos="0"/>
              </w:tabs>
              <w:spacing w:before="240" w:after="240"/>
              <w:rPr>
                <w:sz w:val="24"/>
                <w:szCs w:val="24"/>
              </w:rPr>
            </w:pPr>
            <w:r w:rsidRPr="00DE225E">
              <w:rPr>
                <w:sz w:val="24"/>
                <w:szCs w:val="24"/>
              </w:rPr>
              <w:t>Przegląd okresowy konsoli tlenowej OXCON 1850 psi 6 lub 8 osobowej</w:t>
            </w:r>
          </w:p>
        </w:tc>
        <w:tc>
          <w:tcPr>
            <w:tcW w:w="1979" w:type="dxa"/>
          </w:tcPr>
          <w:p w14:paraId="6AF559AA" w14:textId="76E3DBBB" w:rsidR="00EF0592" w:rsidRPr="00DE225E" w:rsidRDefault="00EF0592" w:rsidP="00EF0592">
            <w:pPr>
              <w:tabs>
                <w:tab w:val="left" w:pos="0"/>
              </w:tabs>
              <w:spacing w:before="240" w:after="240" w:line="360" w:lineRule="auto"/>
              <w:jc w:val="center"/>
              <w:rPr>
                <w:sz w:val="24"/>
                <w:szCs w:val="24"/>
              </w:rPr>
            </w:pPr>
            <w:r w:rsidRPr="00FC4168">
              <w:rPr>
                <w:sz w:val="24"/>
                <w:szCs w:val="24"/>
              </w:rPr>
              <w:t>max.</w:t>
            </w:r>
            <w:r>
              <w:rPr>
                <w:sz w:val="24"/>
                <w:szCs w:val="24"/>
              </w:rPr>
              <w:t xml:space="preserve"> 10 szt. </w:t>
            </w:r>
          </w:p>
        </w:tc>
      </w:tr>
      <w:tr w:rsidR="00EF0592" w14:paraId="3A26795B" w14:textId="77777777" w:rsidTr="008B09D9">
        <w:tc>
          <w:tcPr>
            <w:tcW w:w="704" w:type="dxa"/>
            <w:vAlign w:val="center"/>
          </w:tcPr>
          <w:p w14:paraId="3CB1DD2A" w14:textId="18498274" w:rsidR="00EF0592" w:rsidRPr="00DE225E" w:rsidRDefault="00EF0592" w:rsidP="00EF0592">
            <w:pPr>
              <w:tabs>
                <w:tab w:val="left" w:pos="0"/>
              </w:tabs>
              <w:spacing w:before="240" w:after="240" w:line="276" w:lineRule="auto"/>
              <w:jc w:val="center"/>
              <w:rPr>
                <w:sz w:val="24"/>
                <w:szCs w:val="24"/>
              </w:rPr>
            </w:pPr>
            <w:r w:rsidRPr="00DE225E">
              <w:rPr>
                <w:sz w:val="24"/>
                <w:szCs w:val="24"/>
              </w:rPr>
              <w:t>6.</w:t>
            </w:r>
          </w:p>
        </w:tc>
        <w:tc>
          <w:tcPr>
            <w:tcW w:w="6379" w:type="dxa"/>
            <w:vAlign w:val="center"/>
          </w:tcPr>
          <w:p w14:paraId="0E7E633C" w14:textId="01C75040" w:rsidR="00EF0592" w:rsidRPr="00DE225E" w:rsidRDefault="00EF0592" w:rsidP="00EF0592">
            <w:pPr>
              <w:tabs>
                <w:tab w:val="left" w:pos="0"/>
              </w:tabs>
              <w:spacing w:before="240" w:after="240"/>
              <w:rPr>
                <w:sz w:val="24"/>
                <w:szCs w:val="24"/>
              </w:rPr>
            </w:pPr>
            <w:r w:rsidRPr="00DE225E">
              <w:rPr>
                <w:sz w:val="24"/>
                <w:szCs w:val="24"/>
              </w:rPr>
              <w:t>Test szczelności węży tlenowych konsoli OXCON (długi/krótki)</w:t>
            </w:r>
          </w:p>
        </w:tc>
        <w:tc>
          <w:tcPr>
            <w:tcW w:w="1979" w:type="dxa"/>
          </w:tcPr>
          <w:p w14:paraId="21B1B982" w14:textId="394CBF44" w:rsidR="00EF0592" w:rsidRPr="00DE225E" w:rsidRDefault="00EF0592" w:rsidP="00EF0592">
            <w:pPr>
              <w:tabs>
                <w:tab w:val="left" w:pos="0"/>
              </w:tabs>
              <w:spacing w:before="240" w:after="240" w:line="360" w:lineRule="auto"/>
              <w:jc w:val="center"/>
              <w:rPr>
                <w:sz w:val="24"/>
                <w:szCs w:val="24"/>
              </w:rPr>
            </w:pPr>
            <w:r w:rsidRPr="00FC4168">
              <w:rPr>
                <w:sz w:val="24"/>
                <w:szCs w:val="24"/>
              </w:rPr>
              <w:t>max.</w:t>
            </w:r>
            <w:r>
              <w:rPr>
                <w:sz w:val="24"/>
                <w:szCs w:val="24"/>
              </w:rPr>
              <w:t xml:space="preserve"> 75 szt.</w:t>
            </w:r>
          </w:p>
        </w:tc>
      </w:tr>
      <w:tr w:rsidR="00EF0592" w14:paraId="37E20208" w14:textId="77777777" w:rsidTr="008B09D9">
        <w:tc>
          <w:tcPr>
            <w:tcW w:w="704" w:type="dxa"/>
            <w:vAlign w:val="center"/>
          </w:tcPr>
          <w:p w14:paraId="710A7CAF" w14:textId="4017FB20" w:rsidR="00EF0592" w:rsidRPr="00DE225E" w:rsidRDefault="00EF0592" w:rsidP="00EF0592">
            <w:pPr>
              <w:tabs>
                <w:tab w:val="left" w:pos="0"/>
              </w:tabs>
              <w:spacing w:before="240" w:after="240" w:line="276" w:lineRule="auto"/>
              <w:jc w:val="center"/>
              <w:rPr>
                <w:sz w:val="24"/>
                <w:szCs w:val="24"/>
              </w:rPr>
            </w:pPr>
            <w:r w:rsidRPr="00DE225E">
              <w:rPr>
                <w:sz w:val="24"/>
                <w:szCs w:val="24"/>
              </w:rPr>
              <w:t>7</w:t>
            </w:r>
          </w:p>
        </w:tc>
        <w:tc>
          <w:tcPr>
            <w:tcW w:w="6379" w:type="dxa"/>
            <w:vAlign w:val="center"/>
          </w:tcPr>
          <w:p w14:paraId="3A5E439B" w14:textId="706FCCE5" w:rsidR="00EF0592" w:rsidRPr="00DE225E" w:rsidRDefault="00EF0592" w:rsidP="00EF0592">
            <w:pPr>
              <w:tabs>
                <w:tab w:val="left" w:pos="0"/>
              </w:tabs>
              <w:spacing w:before="240" w:after="240"/>
              <w:rPr>
                <w:sz w:val="24"/>
                <w:szCs w:val="24"/>
              </w:rPr>
            </w:pPr>
            <w:r w:rsidRPr="00DE225E">
              <w:rPr>
                <w:sz w:val="24"/>
                <w:szCs w:val="24"/>
              </w:rPr>
              <w:t>Przegląd oraz serwis butli tlenowej SOLR 3000</w:t>
            </w:r>
          </w:p>
        </w:tc>
        <w:tc>
          <w:tcPr>
            <w:tcW w:w="1979" w:type="dxa"/>
          </w:tcPr>
          <w:p w14:paraId="4D5458DD" w14:textId="1EF84A9C" w:rsidR="00EF0592" w:rsidRPr="00DE225E" w:rsidRDefault="00EF0592" w:rsidP="00EF0592">
            <w:pPr>
              <w:tabs>
                <w:tab w:val="left" w:pos="0"/>
              </w:tabs>
              <w:spacing w:before="240" w:after="240" w:line="360" w:lineRule="auto"/>
              <w:jc w:val="center"/>
              <w:rPr>
                <w:sz w:val="24"/>
                <w:szCs w:val="24"/>
              </w:rPr>
            </w:pPr>
            <w:r w:rsidRPr="00FC4168">
              <w:rPr>
                <w:sz w:val="24"/>
                <w:szCs w:val="24"/>
              </w:rPr>
              <w:t>max.</w:t>
            </w:r>
            <w:r>
              <w:rPr>
                <w:sz w:val="24"/>
                <w:szCs w:val="24"/>
              </w:rPr>
              <w:t xml:space="preserve"> 65 szt.</w:t>
            </w:r>
          </w:p>
        </w:tc>
      </w:tr>
      <w:tr w:rsidR="00EF0592" w14:paraId="6B8F4A03" w14:textId="77777777" w:rsidTr="008B09D9">
        <w:tc>
          <w:tcPr>
            <w:tcW w:w="704" w:type="dxa"/>
            <w:vAlign w:val="center"/>
          </w:tcPr>
          <w:p w14:paraId="7474CE63" w14:textId="58544B7E" w:rsidR="00EF0592" w:rsidRPr="00DE225E" w:rsidRDefault="00EF0592" w:rsidP="00EF0592">
            <w:pPr>
              <w:tabs>
                <w:tab w:val="left" w:pos="0"/>
              </w:tabs>
              <w:spacing w:before="240" w:after="240" w:line="276" w:lineRule="auto"/>
              <w:jc w:val="center"/>
              <w:rPr>
                <w:sz w:val="24"/>
                <w:szCs w:val="24"/>
              </w:rPr>
            </w:pPr>
            <w:r w:rsidRPr="00DE225E">
              <w:rPr>
                <w:sz w:val="24"/>
                <w:szCs w:val="24"/>
              </w:rPr>
              <w:t>8.</w:t>
            </w:r>
          </w:p>
        </w:tc>
        <w:tc>
          <w:tcPr>
            <w:tcW w:w="6379" w:type="dxa"/>
            <w:vAlign w:val="center"/>
          </w:tcPr>
          <w:p w14:paraId="401E91DE" w14:textId="539C5D3D" w:rsidR="00EF0592" w:rsidRPr="00DE225E" w:rsidRDefault="00EF0592" w:rsidP="00EF0592">
            <w:pPr>
              <w:tabs>
                <w:tab w:val="left" w:pos="0"/>
              </w:tabs>
              <w:spacing w:before="240" w:after="240"/>
              <w:rPr>
                <w:sz w:val="24"/>
                <w:szCs w:val="24"/>
              </w:rPr>
            </w:pPr>
            <w:r w:rsidRPr="00DE225E">
              <w:rPr>
                <w:sz w:val="24"/>
                <w:szCs w:val="24"/>
              </w:rPr>
              <w:t>Test hydrostatyczny butli tlenowej SOLR 3000</w:t>
            </w:r>
          </w:p>
        </w:tc>
        <w:tc>
          <w:tcPr>
            <w:tcW w:w="1979" w:type="dxa"/>
          </w:tcPr>
          <w:p w14:paraId="6FCECCAF" w14:textId="216104EA" w:rsidR="00EF0592" w:rsidRPr="00DE225E" w:rsidRDefault="00EF0592" w:rsidP="00EF0592">
            <w:pPr>
              <w:tabs>
                <w:tab w:val="left" w:pos="0"/>
              </w:tabs>
              <w:spacing w:before="240" w:after="240" w:line="360" w:lineRule="auto"/>
              <w:jc w:val="center"/>
              <w:rPr>
                <w:sz w:val="24"/>
                <w:szCs w:val="24"/>
              </w:rPr>
            </w:pPr>
            <w:r w:rsidRPr="00FC4168">
              <w:rPr>
                <w:sz w:val="24"/>
                <w:szCs w:val="24"/>
              </w:rPr>
              <w:t>max.</w:t>
            </w:r>
            <w:r>
              <w:rPr>
                <w:sz w:val="24"/>
                <w:szCs w:val="24"/>
              </w:rPr>
              <w:t xml:space="preserve"> 65 szt.</w:t>
            </w:r>
          </w:p>
        </w:tc>
      </w:tr>
    </w:tbl>
    <w:p w14:paraId="74C8FCEB" w14:textId="77777777" w:rsidR="00627F6A" w:rsidRDefault="00627F6A" w:rsidP="00627F6A">
      <w:pPr>
        <w:shd w:val="clear" w:color="auto" w:fill="FFFFFF"/>
        <w:tabs>
          <w:tab w:val="left" w:pos="0"/>
        </w:tabs>
        <w:spacing w:line="276" w:lineRule="auto"/>
        <w:jc w:val="both"/>
        <w:rPr>
          <w:b/>
          <w:bCs/>
          <w:sz w:val="24"/>
          <w:szCs w:val="24"/>
        </w:rPr>
      </w:pPr>
    </w:p>
    <w:p w14:paraId="1C0BEA4D" w14:textId="10284AC4" w:rsidR="00627F6A" w:rsidRPr="00627F6A" w:rsidRDefault="00627F6A" w:rsidP="00627F6A">
      <w:pPr>
        <w:shd w:val="clear" w:color="auto" w:fill="FFFFFF"/>
        <w:tabs>
          <w:tab w:val="left" w:pos="0"/>
        </w:tabs>
        <w:spacing w:line="276" w:lineRule="auto"/>
        <w:jc w:val="both"/>
        <w:rPr>
          <w:b/>
          <w:bCs/>
          <w:sz w:val="24"/>
          <w:szCs w:val="24"/>
        </w:rPr>
      </w:pPr>
      <w:r w:rsidRPr="00627F6A">
        <w:rPr>
          <w:b/>
          <w:bCs/>
          <w:sz w:val="24"/>
          <w:szCs w:val="24"/>
        </w:rPr>
        <w:t>UWAGA:</w:t>
      </w:r>
    </w:p>
    <w:p w14:paraId="2F1579D3" w14:textId="04B10EE2" w:rsidR="00CB5390" w:rsidRDefault="00627F6A" w:rsidP="00627F6A">
      <w:pPr>
        <w:shd w:val="clear" w:color="auto" w:fill="FFFFFF"/>
        <w:tabs>
          <w:tab w:val="left" w:pos="0"/>
        </w:tabs>
        <w:spacing w:line="276" w:lineRule="auto"/>
        <w:jc w:val="both"/>
        <w:rPr>
          <w:sz w:val="24"/>
          <w:szCs w:val="24"/>
        </w:rPr>
      </w:pPr>
      <w:r w:rsidRPr="00627F6A">
        <w:rPr>
          <w:sz w:val="24"/>
          <w:szCs w:val="24"/>
        </w:rPr>
        <w:t xml:space="preserve">Zamawiający zastrzega sobie, iż </w:t>
      </w:r>
      <w:r>
        <w:rPr>
          <w:sz w:val="24"/>
          <w:szCs w:val="24"/>
        </w:rPr>
        <w:t>powyżej podana liczba serwisów / obsługi</w:t>
      </w:r>
      <w:r w:rsidRPr="00627F6A">
        <w:rPr>
          <w:sz w:val="24"/>
          <w:szCs w:val="24"/>
        </w:rPr>
        <w:t xml:space="preserve"> nie stanowi zobowiązania Zamawiającego do nabycia określonej </w:t>
      </w:r>
      <w:r>
        <w:rPr>
          <w:sz w:val="24"/>
          <w:szCs w:val="24"/>
        </w:rPr>
        <w:t>liczby</w:t>
      </w:r>
      <w:r w:rsidRPr="00627F6A">
        <w:rPr>
          <w:sz w:val="24"/>
          <w:szCs w:val="24"/>
        </w:rPr>
        <w:t xml:space="preserve"> poszczególnego </w:t>
      </w:r>
      <w:r>
        <w:rPr>
          <w:sz w:val="24"/>
          <w:szCs w:val="24"/>
        </w:rPr>
        <w:t>serwisu / obsługi</w:t>
      </w:r>
      <w:r w:rsidRPr="00627F6A">
        <w:rPr>
          <w:sz w:val="24"/>
          <w:szCs w:val="24"/>
        </w:rPr>
        <w:t>. Zamawiający może, wedle własnego uznania, zwiększać lub zmniejszać liczbę</w:t>
      </w:r>
      <w:r>
        <w:rPr>
          <w:sz w:val="24"/>
          <w:szCs w:val="24"/>
        </w:rPr>
        <w:t xml:space="preserve"> zamawianych serwisów obsług</w:t>
      </w:r>
      <w:r w:rsidRPr="00627F6A">
        <w:rPr>
          <w:sz w:val="24"/>
          <w:szCs w:val="24"/>
        </w:rPr>
        <w:t>, z zastrzeżeniem iż łączna wartość zamówień nie przekroczy ogólnej wartości umow</w:t>
      </w:r>
      <w:r>
        <w:rPr>
          <w:sz w:val="24"/>
          <w:szCs w:val="24"/>
        </w:rPr>
        <w:t>y.</w:t>
      </w:r>
    </w:p>
    <w:p w14:paraId="2FE70CC2" w14:textId="77777777" w:rsidR="00627F6A" w:rsidRDefault="00627F6A" w:rsidP="00F04FF4">
      <w:pPr>
        <w:shd w:val="clear" w:color="auto" w:fill="FFFFFF"/>
        <w:tabs>
          <w:tab w:val="left" w:pos="0"/>
        </w:tabs>
        <w:spacing w:line="360" w:lineRule="auto"/>
        <w:jc w:val="both"/>
        <w:rPr>
          <w:b/>
          <w:sz w:val="24"/>
          <w:szCs w:val="24"/>
        </w:rPr>
      </w:pPr>
    </w:p>
    <w:p w14:paraId="2E3A61C4" w14:textId="5ABD6C0D" w:rsidR="00F04FF4" w:rsidRPr="00E55FC5" w:rsidRDefault="00F04FF4" w:rsidP="00F04FF4">
      <w:pPr>
        <w:shd w:val="clear" w:color="auto" w:fill="FFFFFF"/>
        <w:tabs>
          <w:tab w:val="left" w:pos="0"/>
        </w:tabs>
        <w:spacing w:line="360" w:lineRule="auto"/>
        <w:jc w:val="both"/>
        <w:rPr>
          <w:b/>
          <w:sz w:val="24"/>
          <w:szCs w:val="24"/>
        </w:rPr>
      </w:pPr>
      <w:r w:rsidRPr="00E55FC5">
        <w:rPr>
          <w:b/>
          <w:sz w:val="24"/>
          <w:szCs w:val="24"/>
        </w:rPr>
        <w:lastRenderedPageBreak/>
        <w:t>INNE WYMAGANIA:</w:t>
      </w:r>
    </w:p>
    <w:p w14:paraId="10C55EF8" w14:textId="07D15B32" w:rsidR="00F04FF4" w:rsidRDefault="00F04FF4" w:rsidP="00627F6A">
      <w:pPr>
        <w:pStyle w:val="Akapitzlist"/>
        <w:numPr>
          <w:ilvl w:val="0"/>
          <w:numId w:val="2"/>
        </w:numPr>
        <w:shd w:val="clear" w:color="auto" w:fill="FFFFFF"/>
        <w:tabs>
          <w:tab w:val="left" w:pos="0"/>
        </w:tabs>
        <w:suppressAutoHyphens/>
        <w:spacing w:line="276" w:lineRule="auto"/>
        <w:ind w:left="426" w:hanging="426"/>
        <w:contextualSpacing/>
        <w:jc w:val="both"/>
      </w:pPr>
      <w:r w:rsidRPr="00E55FC5">
        <w:t>Usługa musi być wykonana w autoryzowanym serwisie firmy AIRBORNE SYSTEMS NA.</w:t>
      </w:r>
    </w:p>
    <w:p w14:paraId="0F256A2F" w14:textId="77777777" w:rsidR="00DE225E" w:rsidRPr="00E55FC5" w:rsidRDefault="00DE225E" w:rsidP="00DE225E">
      <w:pPr>
        <w:pStyle w:val="Akapitzlist"/>
        <w:shd w:val="clear" w:color="auto" w:fill="FFFFFF"/>
        <w:tabs>
          <w:tab w:val="left" w:pos="0"/>
        </w:tabs>
        <w:suppressAutoHyphens/>
        <w:spacing w:after="200" w:line="276" w:lineRule="auto"/>
        <w:ind w:left="426"/>
        <w:contextualSpacing/>
        <w:jc w:val="both"/>
      </w:pPr>
    </w:p>
    <w:p w14:paraId="2D65A024" w14:textId="344CDDD6" w:rsidR="00DE225E" w:rsidRDefault="00F04FF4" w:rsidP="00DE225E">
      <w:pPr>
        <w:pStyle w:val="Akapitzlist"/>
        <w:numPr>
          <w:ilvl w:val="0"/>
          <w:numId w:val="2"/>
        </w:numPr>
        <w:shd w:val="clear" w:color="auto" w:fill="FFFFFF"/>
        <w:tabs>
          <w:tab w:val="left" w:pos="0"/>
        </w:tabs>
        <w:suppressAutoHyphens/>
        <w:spacing w:line="276" w:lineRule="auto"/>
        <w:ind w:left="426" w:hanging="426"/>
        <w:contextualSpacing/>
        <w:jc w:val="both"/>
      </w:pPr>
      <w:r w:rsidRPr="00E55FC5">
        <w:t>Wykonawca zapewnia prawidłow</w:t>
      </w:r>
      <w:r>
        <w:t>ość świadczenia usług zgodnie z </w:t>
      </w:r>
      <w:r w:rsidRPr="00E55FC5">
        <w:t>dokumentacją techniczną, sporządzoną przez producenta. W przypadku obsług technicznych okresowych zakres wykonywanych prac musi być zgodny z wykaze</w:t>
      </w:r>
      <w:r>
        <w:t>m czynności wyszczególnionych w </w:t>
      </w:r>
      <w:r w:rsidRPr="00E55FC5">
        <w:t>dokumentacji technicznej urządzenia.</w:t>
      </w:r>
    </w:p>
    <w:p w14:paraId="556665FE" w14:textId="77777777" w:rsidR="00DE225E" w:rsidRPr="00E55FC5" w:rsidRDefault="00DE225E" w:rsidP="00DE225E">
      <w:pPr>
        <w:shd w:val="clear" w:color="auto" w:fill="FFFFFF"/>
        <w:tabs>
          <w:tab w:val="left" w:pos="0"/>
        </w:tabs>
        <w:spacing w:line="276" w:lineRule="auto"/>
        <w:contextualSpacing/>
        <w:jc w:val="both"/>
      </w:pPr>
    </w:p>
    <w:p w14:paraId="67DC5E11" w14:textId="2B954399" w:rsidR="00DE225E" w:rsidRDefault="00F04FF4" w:rsidP="00DE225E">
      <w:pPr>
        <w:pStyle w:val="Akapitzlist"/>
        <w:numPr>
          <w:ilvl w:val="0"/>
          <w:numId w:val="2"/>
        </w:numPr>
        <w:shd w:val="clear" w:color="auto" w:fill="FFFFFF"/>
        <w:tabs>
          <w:tab w:val="left" w:pos="0"/>
        </w:tabs>
        <w:suppressAutoHyphens/>
        <w:spacing w:line="276" w:lineRule="auto"/>
        <w:ind w:left="426" w:hanging="426"/>
        <w:contextualSpacing/>
        <w:jc w:val="both"/>
      </w:pPr>
      <w:r w:rsidRPr="00E55FC5">
        <w:t>Sprzęt kierowany do wykonania usługi będzie dostarczany do warsztatu przez Wykonawcę na własny koszt osobiście lub za p</w:t>
      </w:r>
      <w:r>
        <w:t>ośrednictwem firmy kurierskiej.</w:t>
      </w:r>
    </w:p>
    <w:p w14:paraId="2C5AD46A" w14:textId="77777777" w:rsidR="00DE225E" w:rsidRPr="00E55FC5" w:rsidRDefault="00DE225E" w:rsidP="00DE225E">
      <w:pPr>
        <w:shd w:val="clear" w:color="auto" w:fill="FFFFFF"/>
        <w:tabs>
          <w:tab w:val="left" w:pos="0"/>
        </w:tabs>
        <w:spacing w:line="276" w:lineRule="auto"/>
        <w:contextualSpacing/>
        <w:jc w:val="both"/>
      </w:pPr>
    </w:p>
    <w:p w14:paraId="4581A370" w14:textId="77777777" w:rsidR="00F04FF4" w:rsidRPr="00E55FC5" w:rsidRDefault="00F04FF4" w:rsidP="00DE225E">
      <w:pPr>
        <w:pStyle w:val="Akapitzlist"/>
        <w:numPr>
          <w:ilvl w:val="0"/>
          <w:numId w:val="2"/>
        </w:numPr>
        <w:shd w:val="clear" w:color="auto" w:fill="FFFFFF"/>
        <w:tabs>
          <w:tab w:val="left" w:pos="0"/>
        </w:tabs>
        <w:suppressAutoHyphens/>
        <w:spacing w:after="200" w:line="276" w:lineRule="auto"/>
        <w:ind w:left="426" w:hanging="426"/>
        <w:contextualSpacing/>
        <w:jc w:val="both"/>
      </w:pPr>
      <w:r w:rsidRPr="00E55FC5">
        <w:t>O zrealizowaniu usługi Wykonawca nie</w:t>
      </w:r>
      <w:r>
        <w:t xml:space="preserve">zwłocznie (telefonicznie lub za </w:t>
      </w:r>
      <w:r w:rsidRPr="00E55FC5">
        <w:t>pośrednictwem poczty elektronicznej) powiadomi przedstawiciela Zamawiającego.</w:t>
      </w:r>
    </w:p>
    <w:p w14:paraId="1967DCE7" w14:textId="77777777" w:rsidR="00F04FF4" w:rsidRDefault="00F04FF4" w:rsidP="00DE225E">
      <w:pPr>
        <w:pStyle w:val="Akapitzlist"/>
        <w:numPr>
          <w:ilvl w:val="0"/>
          <w:numId w:val="2"/>
        </w:numPr>
        <w:shd w:val="clear" w:color="auto" w:fill="FFFFFF"/>
        <w:tabs>
          <w:tab w:val="left" w:pos="0"/>
        </w:tabs>
        <w:suppressAutoHyphens/>
        <w:spacing w:after="200" w:line="276" w:lineRule="auto"/>
        <w:ind w:left="426" w:hanging="426"/>
        <w:contextualSpacing/>
        <w:jc w:val="both"/>
      </w:pPr>
      <w:r w:rsidRPr="00E55FC5">
        <w:t>Wykonawca zapewnia całodobową ochronę przyjętego do wykonania obsługi sprzętu.</w:t>
      </w:r>
    </w:p>
    <w:p w14:paraId="2F57F066" w14:textId="77777777" w:rsidR="00DE225E" w:rsidRPr="00E55FC5" w:rsidRDefault="00DE225E" w:rsidP="00DE225E">
      <w:pPr>
        <w:pStyle w:val="Akapitzlist"/>
        <w:shd w:val="clear" w:color="auto" w:fill="FFFFFF"/>
        <w:tabs>
          <w:tab w:val="left" w:pos="0"/>
        </w:tabs>
        <w:suppressAutoHyphens/>
        <w:spacing w:after="200" w:line="276" w:lineRule="auto"/>
        <w:ind w:left="426"/>
        <w:contextualSpacing/>
        <w:jc w:val="both"/>
      </w:pPr>
    </w:p>
    <w:p w14:paraId="40923BE5" w14:textId="77777777" w:rsidR="00F04FF4" w:rsidRDefault="00F04FF4" w:rsidP="00DE225E">
      <w:pPr>
        <w:pStyle w:val="Akapitzlist"/>
        <w:numPr>
          <w:ilvl w:val="0"/>
          <w:numId w:val="2"/>
        </w:numPr>
        <w:shd w:val="clear" w:color="auto" w:fill="FFFFFF"/>
        <w:tabs>
          <w:tab w:val="left" w:pos="0"/>
        </w:tabs>
        <w:suppressAutoHyphens/>
        <w:spacing w:line="276" w:lineRule="auto"/>
        <w:ind w:left="426" w:hanging="426"/>
        <w:contextualSpacing/>
        <w:jc w:val="both"/>
      </w:pPr>
      <w:r w:rsidRPr="00E55FC5">
        <w:t>Wykonawca ponosi odpowiedzialność (ryzyko utraty, uszkodzenia itp.) za sprzęt przekazany przez Zamawiającego celem wykonania usług, do czasu ich formalnego przyjęcia przez Zamawiającego, tj. do czasu potwierdzenia odbioru sprzętu przez przedstawiciela Zamawiającego.</w:t>
      </w:r>
    </w:p>
    <w:p w14:paraId="49477185" w14:textId="77777777" w:rsidR="00DE225E" w:rsidRPr="00E55FC5" w:rsidRDefault="00DE225E" w:rsidP="00DE225E">
      <w:pPr>
        <w:shd w:val="clear" w:color="auto" w:fill="FFFFFF"/>
        <w:tabs>
          <w:tab w:val="left" w:pos="0"/>
        </w:tabs>
        <w:spacing w:line="276" w:lineRule="auto"/>
        <w:contextualSpacing/>
        <w:jc w:val="both"/>
      </w:pPr>
    </w:p>
    <w:p w14:paraId="45109FF3" w14:textId="77777777" w:rsidR="00F04FF4" w:rsidRDefault="00F04FF4" w:rsidP="00DE225E">
      <w:pPr>
        <w:pStyle w:val="Akapitzlist"/>
        <w:numPr>
          <w:ilvl w:val="0"/>
          <w:numId w:val="2"/>
        </w:numPr>
        <w:shd w:val="clear" w:color="auto" w:fill="FFFFFF"/>
        <w:tabs>
          <w:tab w:val="left" w:pos="0"/>
        </w:tabs>
        <w:suppressAutoHyphens/>
        <w:spacing w:line="276" w:lineRule="auto"/>
        <w:ind w:left="426" w:hanging="426"/>
        <w:contextualSpacing/>
        <w:jc w:val="both"/>
      </w:pPr>
      <w:r w:rsidRPr="00E55FC5">
        <w:t>Sprzęt nieobsłużony/nienaprawiony zgodnie z dokumentacją techniczną nie zostanie przyjęty przez Zamawiającego i będzie kierowany do Wykonawcy na jego koszt w celu poprawnego wykonania usługi.</w:t>
      </w:r>
    </w:p>
    <w:p w14:paraId="4C5E6BF6" w14:textId="77777777" w:rsidR="00DE225E" w:rsidRPr="00E55FC5" w:rsidRDefault="00DE225E" w:rsidP="00DE225E">
      <w:pPr>
        <w:shd w:val="clear" w:color="auto" w:fill="FFFFFF"/>
        <w:tabs>
          <w:tab w:val="left" w:pos="0"/>
        </w:tabs>
        <w:spacing w:line="276" w:lineRule="auto"/>
        <w:contextualSpacing/>
        <w:jc w:val="both"/>
      </w:pPr>
    </w:p>
    <w:p w14:paraId="29D50C5D" w14:textId="6CDAA4D0" w:rsidR="00F04FF4" w:rsidRDefault="00F04FF4" w:rsidP="00DE225E">
      <w:pPr>
        <w:pStyle w:val="Akapitzlist"/>
        <w:numPr>
          <w:ilvl w:val="0"/>
          <w:numId w:val="2"/>
        </w:numPr>
        <w:shd w:val="clear" w:color="auto" w:fill="FFFFFF"/>
        <w:tabs>
          <w:tab w:val="left" w:pos="0"/>
        </w:tabs>
        <w:suppressAutoHyphens/>
        <w:spacing w:line="276" w:lineRule="auto"/>
        <w:ind w:left="426" w:hanging="426"/>
        <w:contextualSpacing/>
        <w:jc w:val="both"/>
      </w:pPr>
      <w:r w:rsidRPr="00E55FC5">
        <w:t>Wykonawca zobowiązany jest do wystawienia dokumentów potwierdzających wykonanie poszczególny</w:t>
      </w:r>
      <w:r w:rsidR="002A6A4B">
        <w:t>ch czynności serwisowych/obsługowych</w:t>
      </w:r>
      <w:r>
        <w:t xml:space="preserve"> wraz z </w:t>
      </w:r>
      <w:r w:rsidRPr="00E55FC5">
        <w:t>wyszczególnieniem wymienionych podczas obsługi części.</w:t>
      </w:r>
    </w:p>
    <w:p w14:paraId="43B8FD98" w14:textId="77777777" w:rsidR="00DE225E" w:rsidRPr="00E55FC5" w:rsidRDefault="00DE225E" w:rsidP="00DE225E">
      <w:pPr>
        <w:shd w:val="clear" w:color="auto" w:fill="FFFFFF"/>
        <w:tabs>
          <w:tab w:val="left" w:pos="0"/>
        </w:tabs>
        <w:spacing w:line="276" w:lineRule="auto"/>
        <w:contextualSpacing/>
        <w:jc w:val="both"/>
      </w:pPr>
    </w:p>
    <w:p w14:paraId="6D481284" w14:textId="369E9DCA" w:rsidR="00F04FF4" w:rsidRDefault="00F04FF4" w:rsidP="00DE225E">
      <w:pPr>
        <w:pStyle w:val="Akapitzlist"/>
        <w:numPr>
          <w:ilvl w:val="0"/>
          <w:numId w:val="2"/>
        </w:numPr>
        <w:shd w:val="clear" w:color="auto" w:fill="FFFFFF"/>
        <w:tabs>
          <w:tab w:val="left" w:pos="0"/>
        </w:tabs>
        <w:suppressAutoHyphens/>
        <w:spacing w:line="276" w:lineRule="auto"/>
        <w:ind w:left="426" w:hanging="426"/>
        <w:contextualSpacing/>
        <w:jc w:val="both"/>
      </w:pPr>
      <w:r w:rsidRPr="00E55FC5">
        <w:t xml:space="preserve"> Wykonawca będzie świadczył usługi z wykorzystaniem fabrycznie nowych, oryginalnych części i materiałów dedykowanych do realizacji obsług przedmiotowego sprzętu oraz gwarantujące jego dalszą bezpieczną eksploatację. Wykonawca na żądanie Zamawiającego przedstawi dokumenty dotyczące użytych materiałów wraz ze źródłem ich pochodzenia i</w:t>
      </w:r>
      <w:r w:rsidR="00B3028D">
        <w:t> </w:t>
      </w:r>
      <w:r w:rsidRPr="00E55FC5">
        <w:t>datami produkcji w celu potwierdzenia powyższych wymagań.</w:t>
      </w:r>
    </w:p>
    <w:p w14:paraId="69FAC327" w14:textId="77777777" w:rsidR="00DE225E" w:rsidRPr="00E55FC5" w:rsidRDefault="00DE225E" w:rsidP="00DE225E">
      <w:pPr>
        <w:shd w:val="clear" w:color="auto" w:fill="FFFFFF"/>
        <w:tabs>
          <w:tab w:val="left" w:pos="0"/>
        </w:tabs>
        <w:spacing w:line="276" w:lineRule="auto"/>
        <w:contextualSpacing/>
        <w:jc w:val="both"/>
      </w:pPr>
    </w:p>
    <w:p w14:paraId="00FB3DC7" w14:textId="77777777" w:rsidR="00F04FF4" w:rsidRDefault="00F04FF4" w:rsidP="00DE225E">
      <w:pPr>
        <w:pStyle w:val="Akapitzlist"/>
        <w:numPr>
          <w:ilvl w:val="0"/>
          <w:numId w:val="2"/>
        </w:numPr>
        <w:shd w:val="clear" w:color="auto" w:fill="FFFFFF"/>
        <w:tabs>
          <w:tab w:val="left" w:pos="0"/>
        </w:tabs>
        <w:suppressAutoHyphens/>
        <w:spacing w:line="276" w:lineRule="auto"/>
        <w:ind w:left="426" w:hanging="426"/>
        <w:contextualSpacing/>
        <w:jc w:val="both"/>
      </w:pPr>
      <w:r w:rsidRPr="00E55FC5">
        <w:t xml:space="preserve"> Materiały pozostałe po wykonaniu usług, zostaną zutylizowane przez Wykonawcę.</w:t>
      </w:r>
    </w:p>
    <w:p w14:paraId="6AA1FD03" w14:textId="77777777" w:rsidR="00DE225E" w:rsidRPr="00E55FC5" w:rsidRDefault="00DE225E" w:rsidP="00DE225E">
      <w:pPr>
        <w:shd w:val="clear" w:color="auto" w:fill="FFFFFF"/>
        <w:tabs>
          <w:tab w:val="left" w:pos="0"/>
        </w:tabs>
        <w:spacing w:line="276" w:lineRule="auto"/>
        <w:contextualSpacing/>
        <w:jc w:val="both"/>
      </w:pPr>
    </w:p>
    <w:p w14:paraId="417DBD74" w14:textId="77777777" w:rsidR="00F04FF4" w:rsidRPr="00E55FC5" w:rsidRDefault="00F04FF4" w:rsidP="00DE225E">
      <w:pPr>
        <w:pStyle w:val="Akapitzlist"/>
        <w:numPr>
          <w:ilvl w:val="0"/>
          <w:numId w:val="2"/>
        </w:numPr>
        <w:shd w:val="clear" w:color="auto" w:fill="FFFFFF"/>
        <w:tabs>
          <w:tab w:val="left" w:pos="0"/>
        </w:tabs>
        <w:suppressAutoHyphens/>
        <w:spacing w:after="200" w:line="276" w:lineRule="auto"/>
        <w:ind w:left="426" w:hanging="426"/>
        <w:contextualSpacing/>
        <w:jc w:val="both"/>
      </w:pPr>
      <w:r w:rsidRPr="00E55FC5">
        <w:t xml:space="preserve"> W przypadku konieczności wysłania sprzętu poprzez firmę trzecią (np. ”firma kurierska”) celem wykonania usługi poza granicami kraju Wykonawca ponosi pełna odpowiedzialność za ewentualne zagubienie, uszkodzenie powierzonego sprzętu.</w:t>
      </w:r>
    </w:p>
    <w:p w14:paraId="0FD9F3E5" w14:textId="26CDD70D" w:rsidR="00F04FF4" w:rsidRDefault="00F04FF4" w:rsidP="00F04FF4">
      <w:pPr>
        <w:suppressAutoHyphens w:val="0"/>
        <w:rPr>
          <w:color w:val="000000"/>
        </w:rPr>
      </w:pPr>
    </w:p>
    <w:p w14:paraId="25EDC62D" w14:textId="77777777" w:rsidR="00627F6A" w:rsidRDefault="00627F6A" w:rsidP="00F04FF4">
      <w:pPr>
        <w:suppressAutoHyphens w:val="0"/>
        <w:rPr>
          <w:color w:val="000000"/>
        </w:rPr>
      </w:pPr>
    </w:p>
    <w:p w14:paraId="61093183" w14:textId="77777777" w:rsidR="00627F6A" w:rsidRDefault="00627F6A" w:rsidP="00F04FF4">
      <w:pPr>
        <w:suppressAutoHyphens w:val="0"/>
        <w:rPr>
          <w:color w:val="000000"/>
        </w:rPr>
      </w:pPr>
    </w:p>
    <w:p w14:paraId="5359558F" w14:textId="77777777" w:rsidR="00627F6A" w:rsidRDefault="00627F6A" w:rsidP="00F04FF4">
      <w:pPr>
        <w:suppressAutoHyphens w:val="0"/>
        <w:rPr>
          <w:color w:val="000000"/>
        </w:rPr>
      </w:pPr>
    </w:p>
    <w:p w14:paraId="5F0D4808" w14:textId="77777777" w:rsidR="00627F6A" w:rsidRDefault="00627F6A" w:rsidP="00F04FF4">
      <w:pPr>
        <w:suppressAutoHyphens w:val="0"/>
        <w:rPr>
          <w:color w:val="000000"/>
        </w:rPr>
      </w:pPr>
    </w:p>
    <w:p w14:paraId="4F561458" w14:textId="422C2991" w:rsidR="00627F6A" w:rsidRPr="004620F7" w:rsidRDefault="00627F6A" w:rsidP="004620F7">
      <w:pPr>
        <w:pStyle w:val="Akapitzlist"/>
        <w:numPr>
          <w:ilvl w:val="0"/>
          <w:numId w:val="2"/>
        </w:numPr>
        <w:shd w:val="clear" w:color="auto" w:fill="FFFFFF"/>
        <w:tabs>
          <w:tab w:val="left" w:pos="0"/>
        </w:tabs>
        <w:suppressAutoHyphens/>
        <w:spacing w:after="200" w:line="276" w:lineRule="auto"/>
        <w:ind w:left="426" w:hanging="426"/>
        <w:contextualSpacing/>
        <w:jc w:val="both"/>
        <w:rPr>
          <w:color w:val="000000" w:themeColor="text1"/>
        </w:rPr>
      </w:pPr>
      <w:r w:rsidRPr="00627F6A">
        <w:rPr>
          <w:b/>
          <w:bCs/>
          <w:color w:val="000000" w:themeColor="text1"/>
        </w:rPr>
        <w:lastRenderedPageBreak/>
        <w:t>Sposób realizacji usługi serwisu / obsługi aparatów tlenowych</w:t>
      </w:r>
      <w:r>
        <w:rPr>
          <w:color w:val="000000" w:themeColor="text1"/>
        </w:rPr>
        <w:t>:</w:t>
      </w:r>
    </w:p>
    <w:p w14:paraId="6835EFBB" w14:textId="559E9DED" w:rsidR="00627F6A" w:rsidRDefault="00627F6A" w:rsidP="00627F6A">
      <w:pPr>
        <w:pStyle w:val="Akapitzlist"/>
        <w:numPr>
          <w:ilvl w:val="0"/>
          <w:numId w:val="4"/>
        </w:numPr>
        <w:shd w:val="clear" w:color="auto" w:fill="FFFFFF"/>
        <w:tabs>
          <w:tab w:val="left" w:pos="0"/>
        </w:tabs>
        <w:suppressAutoHyphens/>
        <w:spacing w:line="276" w:lineRule="auto"/>
        <w:contextualSpacing/>
        <w:jc w:val="both"/>
        <w:rPr>
          <w:color w:val="000000" w:themeColor="text1"/>
        </w:rPr>
      </w:pPr>
      <w:r w:rsidRPr="001C465A">
        <w:rPr>
          <w:color w:val="000000" w:themeColor="text1"/>
        </w:rPr>
        <w:t>Zamawiający zastrzega sobie prawo do realizacji u</w:t>
      </w:r>
      <w:r>
        <w:rPr>
          <w:color w:val="000000" w:themeColor="text1"/>
        </w:rPr>
        <w:t>sługi</w:t>
      </w:r>
      <w:r w:rsidRPr="001C465A">
        <w:rPr>
          <w:color w:val="000000" w:themeColor="text1"/>
        </w:rPr>
        <w:t xml:space="preserve"> na zasadzie ,,zamówień” obejmujących poszczególne pozycje wchodzące w skład zamówienia w</w:t>
      </w:r>
      <w:r w:rsidR="004620F7">
        <w:rPr>
          <w:color w:val="000000" w:themeColor="text1"/>
        </w:rPr>
        <w:t xml:space="preserve"> </w:t>
      </w:r>
      <w:r w:rsidRPr="001C465A">
        <w:rPr>
          <w:color w:val="000000" w:themeColor="text1"/>
        </w:rPr>
        <w:t xml:space="preserve">zależności od jego potrzeb, przy czym całkowita wartość umowy nie może przekroczyć kwoty określonej </w:t>
      </w:r>
      <w:r>
        <w:rPr>
          <w:color w:val="000000" w:themeColor="text1"/>
        </w:rPr>
        <w:t>w umowie</w:t>
      </w:r>
      <w:r w:rsidRPr="001C465A">
        <w:rPr>
          <w:color w:val="000000" w:themeColor="text1"/>
        </w:rPr>
        <w:t>.</w:t>
      </w:r>
    </w:p>
    <w:p w14:paraId="7E801907" w14:textId="77777777" w:rsidR="00627F6A" w:rsidRPr="001C465A" w:rsidRDefault="00627F6A" w:rsidP="00627F6A">
      <w:pPr>
        <w:pStyle w:val="Akapitzlist"/>
        <w:shd w:val="clear" w:color="auto" w:fill="FFFFFF"/>
        <w:tabs>
          <w:tab w:val="left" w:pos="0"/>
        </w:tabs>
        <w:suppressAutoHyphens/>
        <w:spacing w:line="276" w:lineRule="auto"/>
        <w:ind w:left="786"/>
        <w:contextualSpacing/>
        <w:jc w:val="both"/>
        <w:rPr>
          <w:color w:val="000000" w:themeColor="text1"/>
        </w:rPr>
      </w:pPr>
    </w:p>
    <w:p w14:paraId="376E5496" w14:textId="1CDE0725" w:rsidR="004F5998" w:rsidRPr="00627F6A" w:rsidRDefault="00627F6A" w:rsidP="00627F6A">
      <w:pPr>
        <w:pStyle w:val="Akapitzlist"/>
        <w:numPr>
          <w:ilvl w:val="0"/>
          <w:numId w:val="4"/>
        </w:numPr>
        <w:shd w:val="clear" w:color="auto" w:fill="FFFFFF"/>
        <w:tabs>
          <w:tab w:val="left" w:pos="0"/>
        </w:tabs>
        <w:suppressAutoHyphens/>
        <w:spacing w:after="200" w:line="276" w:lineRule="auto"/>
        <w:contextualSpacing/>
        <w:jc w:val="both"/>
      </w:pPr>
      <w:r w:rsidRPr="001C465A">
        <w:rPr>
          <w:color w:val="000000" w:themeColor="text1"/>
        </w:rPr>
        <w:t xml:space="preserve">,,Zamówienia” określające szczegółowy przedmiot zamówienia (ilość i </w:t>
      </w:r>
      <w:r w:rsidR="004620F7">
        <w:rPr>
          <w:color w:val="000000" w:themeColor="text1"/>
        </w:rPr>
        <w:t>rodzaj serwisu / obsługi</w:t>
      </w:r>
      <w:r w:rsidRPr="001C465A">
        <w:rPr>
          <w:color w:val="000000" w:themeColor="text1"/>
        </w:rPr>
        <w:t xml:space="preserve">) przesyłane będą Wykonawcy za pośrednictwem poczty elektronicznej przed żądanym terminem </w:t>
      </w:r>
      <w:r>
        <w:rPr>
          <w:color w:val="000000" w:themeColor="text1"/>
        </w:rPr>
        <w:t>wykonania usługi.</w:t>
      </w:r>
    </w:p>
    <w:p w14:paraId="328899C4" w14:textId="77777777" w:rsidR="00627F6A" w:rsidRDefault="00627F6A" w:rsidP="00627F6A">
      <w:pPr>
        <w:pStyle w:val="Akapitzlist"/>
      </w:pPr>
    </w:p>
    <w:p w14:paraId="2CD2EADB" w14:textId="7684C0BB" w:rsidR="00627F6A" w:rsidRPr="00814796" w:rsidRDefault="004620F7" w:rsidP="00627F6A">
      <w:pPr>
        <w:pStyle w:val="Akapitzlist"/>
        <w:numPr>
          <w:ilvl w:val="0"/>
          <w:numId w:val="4"/>
        </w:numPr>
        <w:shd w:val="clear" w:color="auto" w:fill="FFFFFF"/>
        <w:tabs>
          <w:tab w:val="left" w:pos="0"/>
        </w:tabs>
        <w:suppressAutoHyphens/>
        <w:spacing w:after="200" w:line="276" w:lineRule="auto"/>
        <w:contextualSpacing/>
        <w:jc w:val="both"/>
        <w:rPr>
          <w:i/>
          <w:iCs/>
        </w:rPr>
      </w:pPr>
      <w:r w:rsidRPr="00814796">
        <w:rPr>
          <w:i/>
          <w:iCs/>
        </w:rPr>
        <w:t xml:space="preserve">Wykonawca w ramach kierowanych sukcesywnie zamówień, zobowiązuje się do realizacji usług w terminie </w:t>
      </w:r>
      <w:r w:rsidR="00814796" w:rsidRPr="00814796">
        <w:rPr>
          <w:i/>
          <w:iCs/>
        </w:rPr>
        <w:t>90</w:t>
      </w:r>
      <w:r w:rsidRPr="00814796">
        <w:rPr>
          <w:i/>
          <w:iCs/>
        </w:rPr>
        <w:t xml:space="preserve"> dni od dnia złożenia zamówienia.</w:t>
      </w:r>
    </w:p>
    <w:p w14:paraId="3D668601" w14:textId="77777777" w:rsidR="004620F7" w:rsidRDefault="004620F7" w:rsidP="004620F7">
      <w:pPr>
        <w:pStyle w:val="Akapitzlist"/>
      </w:pPr>
    </w:p>
    <w:p w14:paraId="00399DC7" w14:textId="77777777" w:rsidR="004620F7" w:rsidRDefault="004620F7" w:rsidP="004620F7">
      <w:pPr>
        <w:shd w:val="clear" w:color="auto" w:fill="FFFFFF"/>
        <w:tabs>
          <w:tab w:val="left" w:pos="0"/>
        </w:tabs>
        <w:spacing w:after="200" w:line="276" w:lineRule="auto"/>
        <w:contextualSpacing/>
        <w:jc w:val="both"/>
      </w:pPr>
    </w:p>
    <w:p w14:paraId="435BD3D1" w14:textId="77777777" w:rsidR="004620F7" w:rsidRDefault="004620F7" w:rsidP="004620F7">
      <w:pPr>
        <w:shd w:val="clear" w:color="auto" w:fill="FFFFFF"/>
        <w:tabs>
          <w:tab w:val="left" w:pos="0"/>
        </w:tabs>
        <w:spacing w:after="200" w:line="276" w:lineRule="auto"/>
        <w:contextualSpacing/>
        <w:jc w:val="both"/>
      </w:pPr>
    </w:p>
    <w:p w14:paraId="216CCF24" w14:textId="77777777" w:rsidR="004620F7" w:rsidRDefault="004620F7" w:rsidP="004620F7">
      <w:pPr>
        <w:shd w:val="clear" w:color="auto" w:fill="FFFFFF"/>
        <w:tabs>
          <w:tab w:val="left" w:pos="0"/>
        </w:tabs>
        <w:spacing w:after="200" w:line="276" w:lineRule="auto"/>
        <w:contextualSpacing/>
        <w:jc w:val="both"/>
      </w:pPr>
    </w:p>
    <w:p w14:paraId="3D261589" w14:textId="77777777" w:rsidR="004620F7" w:rsidRPr="004620F7" w:rsidRDefault="004620F7" w:rsidP="004620F7">
      <w:pPr>
        <w:spacing w:line="276" w:lineRule="auto"/>
        <w:ind w:right="2693"/>
        <w:jc w:val="right"/>
        <w:rPr>
          <w:sz w:val="24"/>
          <w:szCs w:val="24"/>
        </w:rPr>
      </w:pPr>
    </w:p>
    <w:sectPr w:rsidR="004620F7" w:rsidRPr="004620F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9ED54" w14:textId="77777777" w:rsidR="00431089" w:rsidRDefault="00431089" w:rsidP="004620F7">
      <w:r>
        <w:separator/>
      </w:r>
    </w:p>
  </w:endnote>
  <w:endnote w:type="continuationSeparator" w:id="0">
    <w:p w14:paraId="61E4675D" w14:textId="77777777" w:rsidR="00431089" w:rsidRDefault="00431089" w:rsidP="0046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000861"/>
      <w:docPartObj>
        <w:docPartGallery w:val="Page Numbers (Bottom of Page)"/>
        <w:docPartUnique/>
      </w:docPartObj>
    </w:sdtPr>
    <w:sdtContent>
      <w:sdt>
        <w:sdtPr>
          <w:id w:val="-1769616900"/>
          <w:docPartObj>
            <w:docPartGallery w:val="Page Numbers (Top of Page)"/>
            <w:docPartUnique/>
          </w:docPartObj>
        </w:sdtPr>
        <w:sdtContent>
          <w:p w14:paraId="18BBCF31" w14:textId="66899D27" w:rsidR="004620F7" w:rsidRDefault="004620F7" w:rsidP="004620F7">
            <w:pPr>
              <w:pStyle w:val="Stopka"/>
              <w:jc w:val="right"/>
            </w:pPr>
            <w:r w:rsidRPr="004620F7">
              <w:t xml:space="preserve">Strona </w:t>
            </w:r>
            <w:r w:rsidRPr="004620F7">
              <w:fldChar w:fldCharType="begin"/>
            </w:r>
            <w:r w:rsidRPr="004620F7">
              <w:instrText>PAGE</w:instrText>
            </w:r>
            <w:r w:rsidRPr="004620F7">
              <w:fldChar w:fldCharType="separate"/>
            </w:r>
            <w:r w:rsidRPr="004620F7">
              <w:t>2</w:t>
            </w:r>
            <w:r w:rsidRPr="004620F7">
              <w:fldChar w:fldCharType="end"/>
            </w:r>
            <w:r w:rsidRPr="004620F7">
              <w:t xml:space="preserve"> z </w:t>
            </w:r>
            <w:r w:rsidRPr="004620F7">
              <w:fldChar w:fldCharType="begin"/>
            </w:r>
            <w:r w:rsidRPr="004620F7">
              <w:instrText>NUMPAGES</w:instrText>
            </w:r>
            <w:r w:rsidRPr="004620F7">
              <w:fldChar w:fldCharType="separate"/>
            </w:r>
            <w:r w:rsidRPr="004620F7">
              <w:t>2</w:t>
            </w:r>
            <w:r w:rsidRPr="004620F7">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5D140" w14:textId="77777777" w:rsidR="00431089" w:rsidRDefault="00431089" w:rsidP="004620F7">
      <w:r>
        <w:separator/>
      </w:r>
    </w:p>
  </w:footnote>
  <w:footnote w:type="continuationSeparator" w:id="0">
    <w:p w14:paraId="5DFCA500" w14:textId="77777777" w:rsidR="00431089" w:rsidRDefault="00431089" w:rsidP="0046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7B2AB0"/>
    <w:multiLevelType w:val="hybridMultilevel"/>
    <w:tmpl w:val="21DEBE96"/>
    <w:lvl w:ilvl="0" w:tplc="26E8DA8A">
      <w:start w:val="1"/>
      <w:numFmt w:val="decimal"/>
      <w:lvlText w:val="%1."/>
      <w:lvlJc w:val="left"/>
      <w:pPr>
        <w:tabs>
          <w:tab w:val="num" w:pos="765"/>
        </w:tabs>
        <w:ind w:left="765" w:hanging="405"/>
      </w:pPr>
      <w:rPr>
        <w:b w:val="0"/>
        <w:i w:val="0"/>
        <w:color w:val="auto"/>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15:restartNumberingAfterBreak="0">
    <w:nsid w:val="51F97EAC"/>
    <w:multiLevelType w:val="hybridMultilevel"/>
    <w:tmpl w:val="C6C869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58229D"/>
    <w:multiLevelType w:val="hybridMultilevel"/>
    <w:tmpl w:val="FB904F1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A5865BD"/>
    <w:multiLevelType w:val="hybridMultilevel"/>
    <w:tmpl w:val="711C9A1C"/>
    <w:lvl w:ilvl="0" w:tplc="64767C1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802307725">
    <w:abstractNumId w:val="2"/>
  </w:num>
  <w:num w:numId="2" w16cid:durableId="1914272125">
    <w:abstractNumId w:val="1"/>
  </w:num>
  <w:num w:numId="3" w16cid:durableId="698513529">
    <w:abstractNumId w:val="0"/>
  </w:num>
  <w:num w:numId="4" w16cid:durableId="2808484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FF4"/>
    <w:rsid w:val="000F6597"/>
    <w:rsid w:val="001B0287"/>
    <w:rsid w:val="002415F2"/>
    <w:rsid w:val="002A6A4B"/>
    <w:rsid w:val="002B5DEE"/>
    <w:rsid w:val="003816C1"/>
    <w:rsid w:val="003A2C0C"/>
    <w:rsid w:val="00431089"/>
    <w:rsid w:val="004620F7"/>
    <w:rsid w:val="00476F40"/>
    <w:rsid w:val="004B554C"/>
    <w:rsid w:val="004F5998"/>
    <w:rsid w:val="00627F6A"/>
    <w:rsid w:val="007B0BE1"/>
    <w:rsid w:val="00814796"/>
    <w:rsid w:val="00991C00"/>
    <w:rsid w:val="009B7BF2"/>
    <w:rsid w:val="009C1E6A"/>
    <w:rsid w:val="009D3BCB"/>
    <w:rsid w:val="00AA73A7"/>
    <w:rsid w:val="00B3028D"/>
    <w:rsid w:val="00C33030"/>
    <w:rsid w:val="00CB5390"/>
    <w:rsid w:val="00D51CF7"/>
    <w:rsid w:val="00DE225E"/>
    <w:rsid w:val="00E158F3"/>
    <w:rsid w:val="00ED445A"/>
    <w:rsid w:val="00ED45AE"/>
    <w:rsid w:val="00EF0592"/>
    <w:rsid w:val="00F04FF4"/>
    <w:rsid w:val="00F2426C"/>
    <w:rsid w:val="00F728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FF37"/>
  <w15:chartTrackingRefBased/>
  <w15:docId w15:val="{A876E29A-2000-4406-BD1F-AE4B44472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4FF4"/>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ist Paragraph Bullet 1,L1,Numerowanie,Akapit z listą5,Podsis rysunku,lp1,Preambuła,CP-UC,CP-Punkty,Bullet List,List - bullets,Equipment,Bullet 1,List Paragraph Char Char,b1,Figure_name,Numbered Indented Text,List Paragraph11,Ref"/>
    <w:basedOn w:val="Normalny"/>
    <w:link w:val="AkapitzlistZnak"/>
    <w:uiPriority w:val="34"/>
    <w:qFormat/>
    <w:rsid w:val="00F04FF4"/>
    <w:pPr>
      <w:suppressAutoHyphens w:val="0"/>
      <w:ind w:left="708"/>
    </w:pPr>
    <w:rPr>
      <w:sz w:val="24"/>
      <w:szCs w:val="24"/>
      <w:lang w:eastAsia="pl-PL"/>
    </w:rPr>
  </w:style>
  <w:style w:type="character" w:customStyle="1" w:styleId="AkapitzlistZnak">
    <w:name w:val="Akapit z listą Znak"/>
    <w:aliases w:val="List Paragraph Bullet 1 Znak,L1 Znak,Numerowanie Znak,Akapit z listą5 Znak,Podsis rysunku Znak,lp1 Znak,Preambuła Znak,CP-UC Znak,CP-Punkty Znak,Bullet List Znak,List - bullets Znak,Equipment Znak,Bullet 1 Znak,b1 Znak,Ref Znak"/>
    <w:link w:val="Akapitzlist"/>
    <w:uiPriority w:val="34"/>
    <w:qFormat/>
    <w:rsid w:val="00F04FF4"/>
    <w:rPr>
      <w:rFonts w:ascii="Times New Roman" w:eastAsia="Times New Roman" w:hAnsi="Times New Roman" w:cs="Times New Roman"/>
      <w:sz w:val="24"/>
      <w:szCs w:val="24"/>
      <w:lang w:eastAsia="pl-PL"/>
    </w:rPr>
  </w:style>
  <w:style w:type="table" w:styleId="Tabela-Siatka">
    <w:name w:val="Table Grid"/>
    <w:basedOn w:val="Standardowy"/>
    <w:uiPriority w:val="39"/>
    <w:rsid w:val="00CB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4620F7"/>
    <w:pPr>
      <w:tabs>
        <w:tab w:val="center" w:pos="4536"/>
        <w:tab w:val="right" w:pos="9072"/>
      </w:tabs>
    </w:pPr>
  </w:style>
  <w:style w:type="character" w:customStyle="1" w:styleId="NagwekZnak">
    <w:name w:val="Nagłówek Znak"/>
    <w:basedOn w:val="Domylnaczcionkaakapitu"/>
    <w:link w:val="Nagwek"/>
    <w:uiPriority w:val="99"/>
    <w:rsid w:val="004620F7"/>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4620F7"/>
    <w:pPr>
      <w:tabs>
        <w:tab w:val="center" w:pos="4536"/>
        <w:tab w:val="right" w:pos="9072"/>
      </w:tabs>
    </w:pPr>
  </w:style>
  <w:style w:type="character" w:customStyle="1" w:styleId="StopkaZnak">
    <w:name w:val="Stopka Znak"/>
    <w:basedOn w:val="Domylnaczcionkaakapitu"/>
    <w:link w:val="Stopka"/>
    <w:uiPriority w:val="99"/>
    <w:rsid w:val="004620F7"/>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uNDM2VE8wMStjWnJDZjU4d0NYd1ltQ3pIeHUzTFljND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Glp9W5DuuojJZ3fufD2/kgh8A7J5yEy6u5JLk8J6IHM=</DigestValue>
      </Reference>
      <Reference URI="#INFO">
        <DigestMethod Algorithm="http://www.w3.org/2001/04/xmlenc#sha256"/>
        <DigestValue>XPeP1qjk1i1iTkgkLhaRPyjdA6jZQxo666QVdY/ozzI=</DigestValue>
      </Reference>
    </SignedInfo>
    <SignatureValue>DSVlCpg8EB+zH4eDuFgItXfK/km5+KQtSbAljWeoe+7t9izPm5kVieTcUSLtbC/HTV7B004bgfoh74qBnzTgBg==</SignatureValue>
    <Object Id="INFO">
      <ArrayOfString xmlns:xsi="http://www.w3.org/2001/XMLSchema-instance" xmlns:xsd="http://www.w3.org/2001/XMLSchema" xmlns="">
        <string>n436TO01+cZrCf58wCXwYmCzHxu3LYc4</string>
      </ArrayOfString>
    </Object>
  </Signature>
</WrappedLabelInfo>
</file>

<file path=customXml/item2.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Props1.xml><?xml version="1.0" encoding="utf-8"?>
<ds:datastoreItem xmlns:ds="http://schemas.openxmlformats.org/officeDocument/2006/customXml" ds:itemID="{57461AD9-88F8-45C3-BD11-E740C293F1AC}">
  <ds:schemaRefs>
    <ds:schemaRef ds:uri="http://www.w3.org/2001/XMLSchema"/>
    <ds:schemaRef ds:uri="http://www.boldonjames.com/2016/02/Classifier/internal/wrappedLabelInfo"/>
    <ds:schemaRef ds:uri="http://www.w3.org/2000/09/xmldsig#"/>
    <ds:schemaRef ds:uri=""/>
  </ds:schemaRefs>
</ds:datastoreItem>
</file>

<file path=customXml/itemProps2.xml><?xml version="1.0" encoding="utf-8"?>
<ds:datastoreItem xmlns:ds="http://schemas.openxmlformats.org/officeDocument/2006/customXml" ds:itemID="{E1CBD6E9-F7A4-4842-B42B-89CC2F011852}">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Pages>
  <Words>579</Words>
  <Characters>3479</Characters>
  <Application>Microsoft Office Word</Application>
  <DocSecurity>0</DocSecurity>
  <Lines>28</Lines>
  <Paragraphs>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Pazurek Cezary</dc:creator>
  <cp:keywords/>
  <dc:description/>
  <cp:lastModifiedBy>Monika Kolasa</cp:lastModifiedBy>
  <cp:revision>16</cp:revision>
  <dcterms:created xsi:type="dcterms:W3CDTF">2025-07-15T08:48:00Z</dcterms:created>
  <dcterms:modified xsi:type="dcterms:W3CDTF">2025-09-20T18:19:00Z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eaca5c77-1601-4fcc-a524-ce2841c04ff8</vt:lpwstr>
  </property>
  <property fmtid="{D5CDD505-2E9C-101B-9397-08002B2CF9AE}" pid="3" name="bjpmDocIH">
    <vt:lpwstr>zYQ4Zgx1H4HRbx8DlUxUA4HQBx7nR7Ss</vt:lpwstr>
  </property>
  <property fmtid="{D5CDD505-2E9C-101B-9397-08002B2CF9AE}" pid="4"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5" name="bjDocumentLabelXML-0">
    <vt:lpwstr>ames.com/2008/01/sie/internal/label"&gt;&lt;element uid="d7220eed-17a6-431d-810c-83a0ddfed893" value="" /&gt;&lt;/sisl&gt;</vt:lpwstr>
  </property>
  <property fmtid="{D5CDD505-2E9C-101B-9397-08002B2CF9AE}" pid="6" name="bjDocumentSecurityLabel">
    <vt:lpwstr>[d7220eed-17a6-431d-810c-83a0ddfed893]</vt:lpwstr>
  </property>
  <property fmtid="{D5CDD505-2E9C-101B-9397-08002B2CF9AE}" pid="7" name="s5636:Creator type=author">
    <vt:lpwstr>Pazurek Cezary</vt:lpwstr>
  </property>
  <property fmtid="{D5CDD505-2E9C-101B-9397-08002B2CF9AE}" pid="8" name="s5636:Creator type=organization">
    <vt:lpwstr>MILNET-Z</vt:lpwstr>
  </property>
  <property fmtid="{D5CDD505-2E9C-101B-9397-08002B2CF9AE}" pid="9" name="bjPortionMark">
    <vt:lpwstr>[JAW]</vt:lpwstr>
  </property>
  <property fmtid="{D5CDD505-2E9C-101B-9397-08002B2CF9AE}" pid="10" name="bjClsUserRVM">
    <vt:lpwstr>[]</vt:lpwstr>
  </property>
  <property fmtid="{D5CDD505-2E9C-101B-9397-08002B2CF9AE}" pid="11" name="UniqueDocumentKey">
    <vt:lpwstr>aa2a9d1a-1a8d-48c9-8dee-490e7536fdc7</vt:lpwstr>
  </property>
  <property fmtid="{D5CDD505-2E9C-101B-9397-08002B2CF9AE}" pid="12" name="bjSaver">
    <vt:lpwstr>B1sCk7dFiyXWntz8HFEjVrcBmsbMbiov</vt:lpwstr>
  </property>
  <property fmtid="{D5CDD505-2E9C-101B-9397-08002B2CF9AE}" pid="13" name="s5636:Creator type=IP">
    <vt:lpwstr>10.11.158.154</vt:lpwstr>
  </property>
</Properties>
</file>