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1" w:rsidRPr="00F83E71" w:rsidRDefault="005F4511" w:rsidP="007B03DA">
      <w:pPr>
        <w:pStyle w:val="Akapitzlist"/>
        <w:tabs>
          <w:tab w:val="left" w:pos="0"/>
        </w:tabs>
        <w:spacing w:after="0" w:line="360" w:lineRule="auto"/>
        <w:ind w:left="0" w:right="1"/>
        <w:jc w:val="both"/>
        <w:rPr>
          <w:rFonts w:ascii="Century Gothic" w:hAnsi="Century Gothic" w:cs="Arial"/>
          <w:b/>
          <w:sz w:val="20"/>
          <w:szCs w:val="20"/>
        </w:rPr>
      </w:pPr>
    </w:p>
    <w:p w:rsidR="00FB6D60" w:rsidRDefault="00515F4A" w:rsidP="00515F4A">
      <w:pPr>
        <w:tabs>
          <w:tab w:val="right" w:pos="9072"/>
        </w:tabs>
        <w:spacing w:after="0"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Hlk59144817"/>
      <w:r w:rsidRPr="00515F4A">
        <w:rPr>
          <w:rFonts w:asciiTheme="minorHAnsi" w:hAnsiTheme="minorHAnsi" w:cstheme="minorHAnsi"/>
          <w:b/>
          <w:sz w:val="20"/>
          <w:szCs w:val="20"/>
        </w:rPr>
        <w:t>załącznik nr 3 do SWZ-</w:t>
      </w:r>
      <w:r w:rsidR="00FB6D60">
        <w:rPr>
          <w:rFonts w:asciiTheme="minorHAnsi" w:hAnsiTheme="minorHAnsi" w:cstheme="minorHAnsi"/>
          <w:b/>
          <w:sz w:val="20"/>
          <w:szCs w:val="20"/>
        </w:rPr>
        <w:t xml:space="preserve"> Pakiet 1</w:t>
      </w:r>
    </w:p>
    <w:p w:rsidR="004D1353" w:rsidRPr="004D1353" w:rsidRDefault="004D1353" w:rsidP="00515F4A">
      <w:pPr>
        <w:tabs>
          <w:tab w:val="right" w:pos="9072"/>
        </w:tabs>
        <w:spacing w:after="0" w:line="360" w:lineRule="auto"/>
        <w:jc w:val="right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D1353">
        <w:rPr>
          <w:rFonts w:asciiTheme="minorHAnsi" w:hAnsiTheme="minorHAnsi" w:cstheme="minorHAnsi"/>
          <w:b/>
          <w:color w:val="FF0000"/>
          <w:sz w:val="20"/>
          <w:szCs w:val="20"/>
        </w:rPr>
        <w:t>MODYFIKACJA Z DNIA 12.08.2022</w:t>
      </w:r>
    </w:p>
    <w:p w:rsidR="00515F4A" w:rsidRPr="00515F4A" w:rsidRDefault="00FB6D60" w:rsidP="00FB6D60">
      <w:pPr>
        <w:tabs>
          <w:tab w:val="right" w:pos="9072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515F4A" w:rsidRDefault="00515F4A" w:rsidP="005059AD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3B5" w:rsidRPr="00515F4A" w:rsidRDefault="00D973B5" w:rsidP="005059AD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Przedmiotem zamówienia</w:t>
      </w:r>
      <w:r w:rsidRPr="00515F4A">
        <w:rPr>
          <w:rFonts w:asciiTheme="minorHAnsi" w:hAnsiTheme="minorHAnsi" w:cstheme="minorHAnsi"/>
          <w:b/>
          <w:sz w:val="20"/>
          <w:szCs w:val="20"/>
        </w:rPr>
        <w:t xml:space="preserve"> jest dostarczenie produktów leczniczych zawierających substancję aktywną </w:t>
      </w:r>
      <w:proofErr w:type="spellStart"/>
      <w:r w:rsidR="00791AFE" w:rsidRPr="00515F4A">
        <w:rPr>
          <w:rFonts w:asciiTheme="minorHAnsi" w:hAnsiTheme="minorHAnsi" w:cstheme="minorHAnsi"/>
          <w:b/>
          <w:i/>
          <w:sz w:val="20"/>
          <w:szCs w:val="20"/>
        </w:rPr>
        <w:t>nintedanib</w:t>
      </w:r>
      <w:proofErr w:type="spellEnd"/>
      <w:r w:rsidRPr="00515F4A">
        <w:rPr>
          <w:rFonts w:asciiTheme="minorHAnsi" w:hAnsiTheme="minorHAnsi" w:cstheme="minorHAnsi"/>
          <w:b/>
          <w:sz w:val="20"/>
          <w:szCs w:val="20"/>
        </w:rPr>
        <w:t xml:space="preserve"> do realizacji niekomercyjnego badania klinicznego </w:t>
      </w:r>
      <w:r w:rsidR="005059AD" w:rsidRPr="00515F4A">
        <w:rPr>
          <w:rFonts w:asciiTheme="minorHAnsi" w:hAnsiTheme="minorHAnsi" w:cstheme="minorHAnsi"/>
          <w:b/>
          <w:sz w:val="20"/>
          <w:szCs w:val="20"/>
        </w:rPr>
        <w:t xml:space="preserve">„Ocena wpływu preparatu </w:t>
      </w:r>
      <w:proofErr w:type="spellStart"/>
      <w:r w:rsidR="005059AD" w:rsidRPr="00515F4A">
        <w:rPr>
          <w:rFonts w:asciiTheme="minorHAnsi" w:hAnsiTheme="minorHAnsi" w:cstheme="minorHAnsi"/>
          <w:b/>
          <w:sz w:val="20"/>
          <w:szCs w:val="20"/>
        </w:rPr>
        <w:t>mezenchymalnych</w:t>
      </w:r>
      <w:proofErr w:type="spellEnd"/>
      <w:r w:rsidR="005059AD" w:rsidRPr="00515F4A">
        <w:rPr>
          <w:rFonts w:asciiTheme="minorHAnsi" w:hAnsiTheme="minorHAnsi" w:cstheme="minorHAnsi"/>
          <w:b/>
          <w:sz w:val="20"/>
          <w:szCs w:val="20"/>
        </w:rPr>
        <w:t xml:space="preserve"> komórek macierzystych galarety Whartona (</w:t>
      </w:r>
      <w:proofErr w:type="spellStart"/>
      <w:r w:rsidR="005059AD" w:rsidRPr="00515F4A">
        <w:rPr>
          <w:rFonts w:asciiTheme="minorHAnsi" w:hAnsiTheme="minorHAnsi" w:cstheme="minorHAnsi"/>
          <w:b/>
          <w:sz w:val="20"/>
          <w:szCs w:val="20"/>
        </w:rPr>
        <w:t>WJMSCs</w:t>
      </w:r>
      <w:proofErr w:type="spellEnd"/>
      <w:r w:rsidR="005059AD" w:rsidRPr="00515F4A">
        <w:rPr>
          <w:rFonts w:asciiTheme="minorHAnsi" w:hAnsiTheme="minorHAnsi" w:cstheme="minorHAnsi"/>
          <w:b/>
          <w:sz w:val="20"/>
          <w:szCs w:val="20"/>
        </w:rPr>
        <w:t>) w leczeniu zwłókniających śródmiąższowych chorób płuc”</w:t>
      </w:r>
      <w:r w:rsidR="006F35B2" w:rsidRPr="00515F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5F4A">
        <w:rPr>
          <w:rFonts w:asciiTheme="minorHAnsi" w:hAnsiTheme="minorHAnsi" w:cstheme="minorHAnsi"/>
          <w:b/>
          <w:sz w:val="20"/>
          <w:szCs w:val="20"/>
        </w:rPr>
        <w:t xml:space="preserve">w ramach konkursu na działalność badawczo-rozwojową w zakresie niekomercyjnych badań klinicznych Agencji Badań Medycznych (ABM). Gdański Uniwersytet Medyczny pełni rolę Sponsora niekomercyjnego badania klinicznego (zgodnie z założeniami Dobrej Praktyki Klinicznej, GCP). </w:t>
      </w:r>
    </w:p>
    <w:p w:rsidR="00D973B5" w:rsidRPr="00F83E71" w:rsidRDefault="00D973B5" w:rsidP="007B03DA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F5B60" w:rsidRPr="00515F4A" w:rsidRDefault="006F35B2" w:rsidP="006F35B2">
      <w:pPr>
        <w:tabs>
          <w:tab w:val="right" w:pos="9072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515F4A">
        <w:rPr>
          <w:rFonts w:cs="Calibri"/>
          <w:sz w:val="20"/>
          <w:szCs w:val="20"/>
        </w:rPr>
        <w:t xml:space="preserve">Celem niekomercyjnego badania klinicznego jest ocena skuteczności </w:t>
      </w:r>
      <w:r w:rsidR="00791AFE" w:rsidRPr="00515F4A">
        <w:rPr>
          <w:rFonts w:cs="Calibri"/>
          <w:sz w:val="20"/>
          <w:szCs w:val="20"/>
        </w:rPr>
        <w:t xml:space="preserve">preparatu </w:t>
      </w:r>
      <w:proofErr w:type="spellStart"/>
      <w:r w:rsidR="00791AFE" w:rsidRPr="00515F4A">
        <w:rPr>
          <w:rFonts w:cs="Calibri"/>
          <w:sz w:val="20"/>
          <w:szCs w:val="20"/>
        </w:rPr>
        <w:t>mezenchymalnych</w:t>
      </w:r>
      <w:proofErr w:type="spellEnd"/>
      <w:r w:rsidR="00791AFE" w:rsidRPr="00515F4A">
        <w:rPr>
          <w:rFonts w:cs="Calibri"/>
          <w:sz w:val="20"/>
          <w:szCs w:val="20"/>
        </w:rPr>
        <w:t xml:space="preserve"> komórek macierzystych galarety Whartona (</w:t>
      </w:r>
      <w:proofErr w:type="spellStart"/>
      <w:r w:rsidR="00791AFE" w:rsidRPr="00515F4A">
        <w:rPr>
          <w:rFonts w:cs="Calibri"/>
          <w:sz w:val="20"/>
          <w:szCs w:val="20"/>
        </w:rPr>
        <w:t>WJMSCs</w:t>
      </w:r>
      <w:proofErr w:type="spellEnd"/>
      <w:r w:rsidR="00791AFE" w:rsidRPr="00515F4A">
        <w:rPr>
          <w:rFonts w:cs="Calibri"/>
          <w:sz w:val="20"/>
          <w:szCs w:val="20"/>
        </w:rPr>
        <w:t>) w leczeniu zwłókniających śródmiąższowych chorób płuc</w:t>
      </w:r>
      <w:r w:rsidR="00515F4A" w:rsidRPr="00515F4A">
        <w:rPr>
          <w:rFonts w:cs="Calibri"/>
          <w:sz w:val="20"/>
          <w:szCs w:val="20"/>
        </w:rPr>
        <w:t>.</w:t>
      </w:r>
    </w:p>
    <w:p w:rsidR="00791AFE" w:rsidRPr="00F83E71" w:rsidRDefault="00791AFE" w:rsidP="006F35B2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5B60" w:rsidRPr="00515F4A" w:rsidRDefault="00DF5B60" w:rsidP="006F35B2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5F4A">
        <w:rPr>
          <w:rFonts w:asciiTheme="minorHAnsi" w:hAnsiTheme="minorHAnsi" w:cstheme="minorHAnsi"/>
          <w:b/>
          <w:sz w:val="20"/>
          <w:szCs w:val="20"/>
        </w:rPr>
        <w:t>Cechy badania: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Pacjenci: 9+9+9+9+9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15F4A">
        <w:rPr>
          <w:rFonts w:asciiTheme="minorHAnsi" w:hAnsiTheme="minorHAnsi" w:cstheme="minorHAnsi"/>
          <w:sz w:val="20"/>
          <w:szCs w:val="20"/>
          <w:u w:val="single"/>
        </w:rPr>
        <w:t>9 chorych na IPF leczonych standardowo</w:t>
      </w:r>
      <w:r w:rsidR="002C2931" w:rsidRPr="00515F4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(</w:t>
      </w:r>
      <w:r w:rsidR="00FB6D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produkt leczniczy zawierający substancję aktywną </w:t>
      </w:r>
      <w:proofErr w:type="spellStart"/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nintedanib</w:t>
      </w:r>
      <w:proofErr w:type="spellEnd"/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)</w:t>
      </w:r>
      <w:r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515F4A">
        <w:rPr>
          <w:rFonts w:asciiTheme="minorHAnsi" w:hAnsiTheme="minorHAnsi" w:cstheme="minorHAnsi"/>
          <w:sz w:val="20"/>
          <w:szCs w:val="20"/>
          <w:u w:val="single"/>
        </w:rPr>
        <w:t xml:space="preserve">i komórkami MSC; 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9 chorych na włóknienie płuc po-COVID-19 leczonych komórkami MSC; 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15F4A">
        <w:rPr>
          <w:rFonts w:asciiTheme="minorHAnsi" w:hAnsiTheme="minorHAnsi" w:cstheme="minorHAnsi"/>
          <w:sz w:val="20"/>
          <w:szCs w:val="20"/>
          <w:u w:val="single"/>
        </w:rPr>
        <w:t xml:space="preserve">9 chorych na włóknienie płuc po-COVID-19 otrzymujących </w:t>
      </w:r>
      <w:r w:rsidR="00FB6D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produkt leczniczy zawierający substancję aktywną </w:t>
      </w:r>
      <w:proofErr w:type="spellStart"/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nintedanib</w:t>
      </w:r>
      <w:proofErr w:type="spellEnd"/>
      <w:r w:rsidRPr="00515F4A">
        <w:rPr>
          <w:rFonts w:asciiTheme="minorHAnsi" w:hAnsiTheme="minorHAnsi" w:cstheme="minorHAnsi"/>
          <w:sz w:val="20"/>
          <w:szCs w:val="20"/>
          <w:u w:val="single"/>
        </w:rPr>
        <w:t>;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15F4A">
        <w:rPr>
          <w:rFonts w:asciiTheme="minorHAnsi" w:hAnsiTheme="minorHAnsi" w:cstheme="minorHAnsi"/>
          <w:sz w:val="20"/>
          <w:szCs w:val="20"/>
          <w:u w:val="single"/>
        </w:rPr>
        <w:t>9 chorych na IPF leczonych standardowo</w:t>
      </w:r>
      <w:r w:rsidR="002C2931" w:rsidRPr="00515F4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B6D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produkt leczniczy zawierający substancję aktywną </w:t>
      </w:r>
      <w:proofErr w:type="spellStart"/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nintedanib</w:t>
      </w:r>
      <w:proofErr w:type="spellEnd"/>
      <w:r w:rsidR="002C2931" w:rsidRPr="00515F4A">
        <w:rPr>
          <w:rFonts w:asciiTheme="minorHAnsi" w:hAnsiTheme="minorHAnsi" w:cstheme="minorHAnsi"/>
          <w:b/>
          <w:bCs/>
          <w:sz w:val="20"/>
          <w:szCs w:val="20"/>
          <w:u w:val="single"/>
        </w:rPr>
        <w:t>)</w:t>
      </w:r>
      <w:r w:rsidRPr="00515F4A">
        <w:rPr>
          <w:rFonts w:asciiTheme="minorHAnsi" w:hAnsiTheme="minorHAnsi" w:cstheme="minorHAnsi"/>
          <w:sz w:val="20"/>
          <w:szCs w:val="20"/>
          <w:u w:val="single"/>
        </w:rPr>
        <w:t xml:space="preserve"> i otrzymujących placebo (grupa kontrolna); 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9 chorych na włóknienie płuc po-COVID-19 otrzymujących placebo (grupa kontrolna);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Włączanie pacjentów: 24 miesiące</w:t>
      </w:r>
    </w:p>
    <w:p w:rsidR="00791AFE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Czas obserwacji: </w:t>
      </w:r>
      <w:r w:rsidRPr="00515F4A">
        <w:rPr>
          <w:rFonts w:asciiTheme="minorHAnsi" w:hAnsiTheme="minorHAnsi" w:cstheme="minorHAnsi"/>
          <w:b/>
          <w:bCs/>
          <w:sz w:val="20"/>
          <w:szCs w:val="20"/>
        </w:rPr>
        <w:t>12 m-</w:t>
      </w:r>
      <w:proofErr w:type="spellStart"/>
      <w:r w:rsidRPr="00515F4A">
        <w:rPr>
          <w:rFonts w:asciiTheme="minorHAnsi" w:hAnsiTheme="minorHAnsi" w:cstheme="minorHAnsi"/>
          <w:b/>
          <w:bCs/>
          <w:sz w:val="20"/>
          <w:szCs w:val="20"/>
        </w:rPr>
        <w:t>cy</w:t>
      </w:r>
      <w:proofErr w:type="spellEnd"/>
      <w:r w:rsidRPr="00515F4A">
        <w:rPr>
          <w:rFonts w:asciiTheme="minorHAnsi" w:hAnsiTheme="minorHAnsi" w:cstheme="minorHAnsi"/>
          <w:sz w:val="20"/>
          <w:szCs w:val="20"/>
        </w:rPr>
        <w:t xml:space="preserve"> (dzień ‘0’ to dzień podania pierwszej dawki MSC)</w:t>
      </w:r>
    </w:p>
    <w:p w:rsidR="00791AFE" w:rsidRPr="00515F4A" w:rsidRDefault="00B22D3C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5F4A">
        <w:rPr>
          <w:rFonts w:asciiTheme="minorHAnsi" w:hAnsiTheme="minorHAnsi" w:cstheme="minorHAnsi"/>
          <w:b/>
          <w:sz w:val="20"/>
          <w:szCs w:val="20"/>
        </w:rPr>
        <w:t>Łączny c</w:t>
      </w:r>
      <w:r w:rsidR="00791AFE" w:rsidRPr="00515F4A">
        <w:rPr>
          <w:rFonts w:asciiTheme="minorHAnsi" w:hAnsiTheme="minorHAnsi" w:cstheme="minorHAnsi"/>
          <w:b/>
          <w:sz w:val="20"/>
          <w:szCs w:val="20"/>
        </w:rPr>
        <w:t>zas badania: 36 miesięcy</w:t>
      </w:r>
    </w:p>
    <w:p w:rsidR="004D242C" w:rsidRPr="00515F4A" w:rsidRDefault="00791AFE" w:rsidP="00791AFE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Typ badania: Badanie prospektywne pilotażowe (faza I/</w:t>
      </w:r>
      <w:proofErr w:type="spellStart"/>
      <w:r w:rsidRPr="00515F4A">
        <w:rPr>
          <w:rFonts w:asciiTheme="minorHAnsi" w:hAnsiTheme="minorHAnsi" w:cstheme="minorHAnsi"/>
          <w:sz w:val="20"/>
          <w:szCs w:val="20"/>
        </w:rPr>
        <w:t>IIa</w:t>
      </w:r>
      <w:proofErr w:type="spellEnd"/>
      <w:r w:rsidRPr="00515F4A">
        <w:rPr>
          <w:rFonts w:asciiTheme="minorHAnsi" w:hAnsiTheme="minorHAnsi" w:cstheme="minorHAnsi"/>
          <w:sz w:val="20"/>
          <w:szCs w:val="20"/>
        </w:rPr>
        <w:t>)</w:t>
      </w:r>
    </w:p>
    <w:p w:rsidR="00436779" w:rsidRPr="00515F4A" w:rsidRDefault="00436779" w:rsidP="0043677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36779" w:rsidRPr="00515F4A" w:rsidRDefault="00436779" w:rsidP="00436779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5F4A">
        <w:rPr>
          <w:rFonts w:asciiTheme="minorHAnsi" w:hAnsiTheme="minorHAnsi" w:cstheme="minorHAnsi"/>
          <w:bCs/>
          <w:sz w:val="20"/>
          <w:szCs w:val="20"/>
        </w:rPr>
        <w:t xml:space="preserve">Czas trwania badania oraz czas dostawy będzie wynosił 36 miesięcy, przy czym pacjenci włączani do badania będą sukcesywnie przez okres 24 miesięcy. Każdy pacjent w powyższym badaniu będzie podlegał leczeniu produktem badanym </w:t>
      </w:r>
      <w:proofErr w:type="spellStart"/>
      <w:r w:rsidRPr="00515F4A">
        <w:rPr>
          <w:rFonts w:asciiTheme="minorHAnsi" w:hAnsiTheme="minorHAnsi" w:cstheme="minorHAnsi"/>
          <w:bCs/>
          <w:sz w:val="20"/>
          <w:szCs w:val="20"/>
        </w:rPr>
        <w:t>Ofev</w:t>
      </w:r>
      <w:proofErr w:type="spellEnd"/>
      <w:r w:rsidRPr="00515F4A">
        <w:rPr>
          <w:rFonts w:asciiTheme="minorHAnsi" w:hAnsiTheme="minorHAnsi" w:cstheme="minorHAnsi"/>
          <w:bCs/>
          <w:sz w:val="20"/>
          <w:szCs w:val="20"/>
        </w:rPr>
        <w:t xml:space="preserve"> przez 12 miesięcy.</w:t>
      </w:r>
    </w:p>
    <w:p w:rsidR="000F53FF" w:rsidRPr="00F83E71" w:rsidRDefault="000F53FF" w:rsidP="007B03DA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6F35B2" w:rsidRPr="00F83E71" w:rsidRDefault="006F35B2" w:rsidP="007B03DA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0F53FF" w:rsidRPr="00F83E71" w:rsidRDefault="000F53FF" w:rsidP="007B03DA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bookmarkEnd w:id="0"/>
    <w:p w:rsidR="00047AE5" w:rsidRPr="00F063D7" w:rsidRDefault="00047AE5" w:rsidP="007B03DA">
      <w:pPr>
        <w:pStyle w:val="Zwykytekst"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i/>
          <w:iCs/>
          <w:sz w:val="20"/>
          <w:szCs w:val="20"/>
        </w:rPr>
      </w:pPr>
    </w:p>
    <w:p w:rsidR="00B34909" w:rsidRPr="00F063D7" w:rsidRDefault="002E674E" w:rsidP="00515F4A">
      <w:pPr>
        <w:pStyle w:val="NormalnyWeb1"/>
        <w:spacing w:before="0" w:after="120" w:line="360" w:lineRule="auto"/>
        <w:ind w:firstLine="142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b/>
          <w:sz w:val="20"/>
          <w:szCs w:val="20"/>
        </w:rPr>
        <w:t>Przedmiotem niniejszego zamówienia jest:</w:t>
      </w:r>
    </w:p>
    <w:p w:rsidR="00B34909" w:rsidRPr="00515F4A" w:rsidRDefault="00815268" w:rsidP="007B03DA">
      <w:pPr>
        <w:pStyle w:val="NormalnyWeb1"/>
        <w:numPr>
          <w:ilvl w:val="0"/>
          <w:numId w:val="3"/>
        </w:numPr>
        <w:spacing w:before="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bCs/>
          <w:sz w:val="20"/>
          <w:szCs w:val="20"/>
        </w:rPr>
        <w:t xml:space="preserve">Dostarczenie </w:t>
      </w:r>
      <w:r w:rsidR="003E33D4" w:rsidRPr="00515F4A">
        <w:rPr>
          <w:rFonts w:asciiTheme="minorHAnsi" w:hAnsiTheme="minorHAnsi" w:cstheme="minorHAnsi"/>
          <w:bCs/>
          <w:sz w:val="20"/>
          <w:szCs w:val="20"/>
        </w:rPr>
        <w:t>produktu leczniczego</w:t>
      </w:r>
      <w:r w:rsidR="00FB6D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B6D60" w:rsidRPr="00FB6D60">
        <w:rPr>
          <w:rFonts w:asciiTheme="minorHAnsi" w:hAnsiTheme="minorHAnsi" w:cstheme="minorHAnsi"/>
          <w:bCs/>
          <w:sz w:val="20"/>
          <w:szCs w:val="20"/>
        </w:rPr>
        <w:t>zawierając</w:t>
      </w:r>
      <w:r w:rsidR="00FB6D60">
        <w:rPr>
          <w:rFonts w:asciiTheme="minorHAnsi" w:hAnsiTheme="minorHAnsi" w:cstheme="minorHAnsi"/>
          <w:bCs/>
          <w:sz w:val="20"/>
          <w:szCs w:val="20"/>
        </w:rPr>
        <w:t>ego</w:t>
      </w:r>
      <w:r w:rsidR="00FB6D60" w:rsidRPr="00FB6D60">
        <w:rPr>
          <w:rFonts w:asciiTheme="minorHAnsi" w:hAnsiTheme="minorHAnsi" w:cstheme="minorHAnsi"/>
          <w:bCs/>
          <w:sz w:val="20"/>
          <w:szCs w:val="20"/>
        </w:rPr>
        <w:t xml:space="preserve"> substancję aktywną</w:t>
      </w:r>
      <w:r w:rsidR="00FB6D6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15F4A">
        <w:rPr>
          <w:rFonts w:asciiTheme="minorHAnsi" w:hAnsiTheme="minorHAnsi" w:cstheme="minorHAnsi"/>
          <w:bCs/>
          <w:sz w:val="20"/>
          <w:szCs w:val="20"/>
        </w:rPr>
        <w:t>nintedanib</w:t>
      </w:r>
      <w:proofErr w:type="spellEnd"/>
      <w:r w:rsidRPr="00515F4A">
        <w:rPr>
          <w:rFonts w:asciiTheme="minorHAnsi" w:hAnsiTheme="minorHAnsi" w:cstheme="minorHAnsi"/>
          <w:bCs/>
          <w:sz w:val="20"/>
          <w:szCs w:val="20"/>
        </w:rPr>
        <w:t xml:space="preserve"> w </w:t>
      </w:r>
      <w:r w:rsidR="00EC3041" w:rsidRPr="00515F4A">
        <w:rPr>
          <w:rFonts w:asciiTheme="minorHAnsi" w:hAnsiTheme="minorHAnsi" w:cstheme="minorHAnsi"/>
          <w:bCs/>
          <w:sz w:val="20"/>
          <w:szCs w:val="20"/>
        </w:rPr>
        <w:t xml:space="preserve">kapsułkach </w:t>
      </w:r>
      <w:r w:rsidR="00CE297E" w:rsidRPr="00515F4A">
        <w:rPr>
          <w:rFonts w:asciiTheme="minorHAnsi" w:hAnsiTheme="minorHAnsi" w:cstheme="minorHAnsi"/>
          <w:bCs/>
          <w:sz w:val="20"/>
          <w:szCs w:val="20"/>
        </w:rPr>
        <w:t xml:space="preserve">dla </w:t>
      </w:r>
      <w:r w:rsidR="00CE297E" w:rsidRPr="00515F4A">
        <w:rPr>
          <w:rFonts w:asciiTheme="minorHAnsi" w:hAnsiTheme="minorHAnsi" w:cstheme="minorHAnsi"/>
          <w:b/>
          <w:sz w:val="20"/>
          <w:szCs w:val="20"/>
        </w:rPr>
        <w:t>27 pacjentów na okres 12 miesięcy</w:t>
      </w:r>
      <w:r w:rsidR="00D7177A" w:rsidRPr="00515F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5F4A" w:rsidRPr="00515F4A">
        <w:rPr>
          <w:rFonts w:asciiTheme="minorHAnsi" w:hAnsiTheme="minorHAnsi" w:cstheme="minorHAnsi"/>
          <w:sz w:val="20"/>
          <w:szCs w:val="20"/>
        </w:rPr>
        <w:t>(</w:t>
      </w:r>
      <w:r w:rsidR="00D7177A" w:rsidRPr="00515F4A">
        <w:rPr>
          <w:rFonts w:asciiTheme="minorHAnsi" w:hAnsiTheme="minorHAnsi" w:cstheme="minorHAnsi"/>
          <w:sz w:val="20"/>
          <w:szCs w:val="20"/>
        </w:rPr>
        <w:t>pacjenci włączani sukcesywnie do badania</w:t>
      </w:r>
      <w:r w:rsidR="00B22D3C" w:rsidRPr="00515F4A">
        <w:rPr>
          <w:rFonts w:asciiTheme="minorHAnsi" w:hAnsiTheme="minorHAnsi" w:cstheme="minorHAnsi"/>
          <w:sz w:val="20"/>
          <w:szCs w:val="20"/>
        </w:rPr>
        <w:t xml:space="preserve"> przez okres 24 miesięcy</w:t>
      </w:r>
      <w:r w:rsidR="00D7177A" w:rsidRPr="00515F4A">
        <w:rPr>
          <w:rFonts w:asciiTheme="minorHAnsi" w:hAnsiTheme="minorHAnsi" w:cstheme="minorHAnsi"/>
          <w:sz w:val="20"/>
          <w:szCs w:val="20"/>
        </w:rPr>
        <w:t>)</w:t>
      </w:r>
      <w:r w:rsidR="00CE297E" w:rsidRPr="00515F4A">
        <w:rPr>
          <w:rFonts w:asciiTheme="minorHAnsi" w:hAnsiTheme="minorHAnsi" w:cstheme="minorHAnsi"/>
          <w:bCs/>
          <w:sz w:val="20"/>
          <w:szCs w:val="20"/>
        </w:rPr>
        <w:t xml:space="preserve"> terapii dla każdego z badanych</w:t>
      </w:r>
      <w:r w:rsidR="00B34909" w:rsidRPr="00515F4A">
        <w:rPr>
          <w:rFonts w:asciiTheme="minorHAnsi" w:hAnsiTheme="minorHAnsi" w:cstheme="minorHAnsi"/>
          <w:bCs/>
          <w:sz w:val="20"/>
          <w:szCs w:val="20"/>
        </w:rPr>
        <w:t>:</w:t>
      </w:r>
    </w:p>
    <w:p w:rsidR="00562F65" w:rsidRPr="00515F4A" w:rsidRDefault="00FB6D60" w:rsidP="00515F4A">
      <w:pPr>
        <w:pStyle w:val="NormalnyWeb1"/>
        <w:numPr>
          <w:ilvl w:val="1"/>
          <w:numId w:val="3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6D60">
        <w:rPr>
          <w:rFonts w:asciiTheme="minorHAnsi" w:hAnsiTheme="minorHAnsi" w:cstheme="minorHAnsi"/>
          <w:b/>
          <w:bCs/>
          <w:sz w:val="20"/>
          <w:szCs w:val="20"/>
        </w:rPr>
        <w:t xml:space="preserve">produkt leczniczy zawierający substancję aktywną </w:t>
      </w:r>
      <w:proofErr w:type="spellStart"/>
      <w:r w:rsidRPr="00FB6D60">
        <w:rPr>
          <w:rFonts w:asciiTheme="minorHAnsi" w:hAnsiTheme="minorHAnsi" w:cstheme="minorHAnsi"/>
          <w:b/>
          <w:bCs/>
          <w:sz w:val="20"/>
          <w:szCs w:val="20"/>
        </w:rPr>
        <w:t>nintedanib</w:t>
      </w:r>
      <w:proofErr w:type="spellEnd"/>
      <w:r w:rsidR="00562F65" w:rsidRPr="00515F4A">
        <w:rPr>
          <w:rFonts w:asciiTheme="minorHAnsi" w:hAnsiTheme="minorHAnsi" w:cstheme="minorHAnsi"/>
          <w:sz w:val="20"/>
          <w:szCs w:val="20"/>
        </w:rPr>
        <w:t xml:space="preserve">, dostarczany </w:t>
      </w:r>
      <w:r w:rsidR="00CE297E" w:rsidRPr="00515F4A">
        <w:rPr>
          <w:rFonts w:asciiTheme="minorHAnsi" w:hAnsiTheme="minorHAnsi" w:cstheme="minorHAnsi"/>
          <w:sz w:val="20"/>
          <w:szCs w:val="20"/>
        </w:rPr>
        <w:t xml:space="preserve"> </w:t>
      </w:r>
      <w:r w:rsidR="00562F65" w:rsidRPr="00515F4A">
        <w:rPr>
          <w:rFonts w:asciiTheme="minorHAnsi" w:hAnsiTheme="minorHAnsi" w:cstheme="minorHAnsi"/>
          <w:sz w:val="20"/>
          <w:szCs w:val="20"/>
        </w:rPr>
        <w:t xml:space="preserve">jako kapsułki miękkie  </w:t>
      </w:r>
      <w:r w:rsidR="00515F4A" w:rsidRPr="00515F4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562F65" w:rsidRPr="00515F4A">
        <w:rPr>
          <w:rFonts w:asciiTheme="minorHAnsi" w:hAnsiTheme="minorHAnsi" w:cstheme="minorHAnsi"/>
          <w:b/>
          <w:sz w:val="20"/>
          <w:szCs w:val="20"/>
        </w:rPr>
        <w:t>150 mg</w:t>
      </w:r>
      <w:r w:rsidR="00562F65" w:rsidRPr="00515F4A">
        <w:rPr>
          <w:rFonts w:asciiTheme="minorHAnsi" w:hAnsiTheme="minorHAnsi" w:cstheme="minorHAnsi"/>
          <w:sz w:val="20"/>
          <w:szCs w:val="20"/>
        </w:rPr>
        <w:t xml:space="preserve"> w ilości wystarczającej do podania 2x dobę przez okres 12 miesięcy na pacjenta</w:t>
      </w:r>
      <w:r w:rsidR="00AD1E73" w:rsidRPr="00515F4A">
        <w:rPr>
          <w:rFonts w:asciiTheme="minorHAnsi" w:hAnsiTheme="minorHAnsi" w:cstheme="minorHAnsi"/>
          <w:sz w:val="20"/>
          <w:szCs w:val="20"/>
        </w:rPr>
        <w:t xml:space="preserve">, tj. łącznie </w:t>
      </w:r>
      <w:r w:rsidR="00515F4A" w:rsidRPr="00515F4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515F4A" w:rsidRPr="00515F4A">
        <w:rPr>
          <w:rFonts w:asciiTheme="minorHAnsi" w:hAnsiTheme="minorHAnsi" w:cstheme="minorHAnsi"/>
          <w:b/>
          <w:sz w:val="20"/>
          <w:szCs w:val="20"/>
        </w:rPr>
        <w:t xml:space="preserve">22 740 </w:t>
      </w:r>
      <w:r w:rsidR="00145D41" w:rsidRPr="00515F4A">
        <w:rPr>
          <w:rFonts w:asciiTheme="minorHAnsi" w:hAnsiTheme="minorHAnsi" w:cstheme="minorHAnsi"/>
          <w:sz w:val="20"/>
          <w:szCs w:val="20"/>
        </w:rPr>
        <w:t>kapsułek</w:t>
      </w:r>
      <w:r w:rsidR="004A4DFB" w:rsidRPr="00515F4A">
        <w:rPr>
          <w:rFonts w:asciiTheme="minorHAnsi" w:hAnsiTheme="minorHAnsi" w:cstheme="minorHAnsi"/>
          <w:sz w:val="20"/>
          <w:szCs w:val="20"/>
        </w:rPr>
        <w:t xml:space="preserve"> </w:t>
      </w:r>
      <w:r w:rsidR="004A4DFB" w:rsidRPr="00515F4A">
        <w:rPr>
          <w:rFonts w:asciiTheme="minorHAnsi" w:hAnsiTheme="minorHAnsi" w:cstheme="minorHAnsi"/>
          <w:b/>
          <w:sz w:val="20"/>
          <w:szCs w:val="20"/>
        </w:rPr>
        <w:t>(3</w:t>
      </w:r>
      <w:r w:rsidR="00515F4A" w:rsidRPr="00515F4A">
        <w:rPr>
          <w:rFonts w:asciiTheme="minorHAnsi" w:hAnsiTheme="minorHAnsi" w:cstheme="minorHAnsi"/>
          <w:b/>
          <w:sz w:val="20"/>
          <w:szCs w:val="20"/>
        </w:rPr>
        <w:t>7</w:t>
      </w:r>
      <w:r w:rsidR="004A4DFB" w:rsidRPr="00515F4A">
        <w:rPr>
          <w:rFonts w:asciiTheme="minorHAnsi" w:hAnsiTheme="minorHAnsi" w:cstheme="minorHAnsi"/>
          <w:b/>
          <w:sz w:val="20"/>
          <w:szCs w:val="20"/>
        </w:rPr>
        <w:t>9 opakowań</w:t>
      </w:r>
      <w:r w:rsidR="00515F4A" w:rsidRPr="00515F4A">
        <w:rPr>
          <w:rFonts w:asciiTheme="minorHAnsi" w:hAnsiTheme="minorHAnsi" w:cstheme="minorHAnsi"/>
          <w:b/>
          <w:sz w:val="20"/>
          <w:szCs w:val="20"/>
        </w:rPr>
        <w:t xml:space="preserve"> po 60 kapsułek</w:t>
      </w:r>
      <w:r w:rsidR="004A4DFB" w:rsidRPr="00515F4A">
        <w:rPr>
          <w:rFonts w:asciiTheme="minorHAnsi" w:hAnsiTheme="minorHAnsi" w:cstheme="minorHAnsi"/>
          <w:b/>
          <w:sz w:val="20"/>
          <w:szCs w:val="20"/>
        </w:rPr>
        <w:t>)</w:t>
      </w:r>
    </w:p>
    <w:p w:rsidR="00515F4A" w:rsidRPr="00515F4A" w:rsidRDefault="00515F4A" w:rsidP="00515F4A">
      <w:pPr>
        <w:pStyle w:val="NormalnyWeb1"/>
        <w:numPr>
          <w:ilvl w:val="1"/>
          <w:numId w:val="3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Lek, nazwa międzynarodowa: </w:t>
      </w:r>
      <w:proofErr w:type="spellStart"/>
      <w:r w:rsidRPr="00515F4A">
        <w:rPr>
          <w:rFonts w:asciiTheme="minorHAnsi" w:hAnsiTheme="minorHAnsi" w:cstheme="minorHAnsi"/>
          <w:sz w:val="20"/>
          <w:szCs w:val="20"/>
        </w:rPr>
        <w:t>nintedanib</w:t>
      </w:r>
      <w:proofErr w:type="spellEnd"/>
      <w:r w:rsidRPr="00515F4A">
        <w:rPr>
          <w:rFonts w:asciiTheme="minorHAnsi" w:hAnsiTheme="minorHAnsi" w:cstheme="minorHAnsi"/>
          <w:sz w:val="20"/>
          <w:szCs w:val="20"/>
        </w:rPr>
        <w:t xml:space="preserve">, nazwa handlowa: </w:t>
      </w:r>
      <w:proofErr w:type="spellStart"/>
      <w:r w:rsidRPr="00515F4A">
        <w:rPr>
          <w:rFonts w:asciiTheme="minorHAnsi" w:hAnsiTheme="minorHAnsi" w:cstheme="minorHAnsi"/>
          <w:sz w:val="20"/>
          <w:szCs w:val="20"/>
        </w:rPr>
        <w:t>Ofev</w:t>
      </w:r>
      <w:proofErr w:type="spellEnd"/>
      <w:r w:rsidRPr="00515F4A">
        <w:rPr>
          <w:rFonts w:asciiTheme="minorHAnsi" w:hAnsiTheme="minorHAnsi" w:cstheme="minorHAnsi"/>
          <w:sz w:val="20"/>
          <w:szCs w:val="20"/>
        </w:rPr>
        <w:t xml:space="preserve"> dostarczany  jako kapsułki miękkie                </w:t>
      </w:r>
      <w:r w:rsidRPr="00515F4A">
        <w:rPr>
          <w:rFonts w:asciiTheme="minorHAnsi" w:hAnsiTheme="minorHAnsi" w:cstheme="minorHAnsi"/>
          <w:b/>
          <w:sz w:val="20"/>
          <w:szCs w:val="20"/>
        </w:rPr>
        <w:t>100 mg</w:t>
      </w:r>
      <w:r w:rsidRPr="00515F4A">
        <w:rPr>
          <w:rFonts w:asciiTheme="minorHAnsi" w:hAnsiTheme="minorHAnsi" w:cstheme="minorHAnsi"/>
          <w:sz w:val="20"/>
          <w:szCs w:val="20"/>
        </w:rPr>
        <w:t xml:space="preserve"> w ilości wystarczającej do podania 2x dobę przez okres 12 miesięcy na pacjenta, tj. łącznie                            </w:t>
      </w:r>
      <w:r w:rsidRPr="00515F4A">
        <w:rPr>
          <w:rFonts w:asciiTheme="minorHAnsi" w:hAnsiTheme="minorHAnsi" w:cstheme="minorHAnsi"/>
          <w:b/>
          <w:sz w:val="20"/>
          <w:szCs w:val="20"/>
        </w:rPr>
        <w:t xml:space="preserve">5 880 </w:t>
      </w:r>
      <w:r w:rsidRPr="00515F4A">
        <w:rPr>
          <w:rFonts w:asciiTheme="minorHAnsi" w:hAnsiTheme="minorHAnsi" w:cstheme="minorHAnsi"/>
          <w:sz w:val="20"/>
          <w:szCs w:val="20"/>
        </w:rPr>
        <w:t xml:space="preserve">kapsułek </w:t>
      </w:r>
      <w:r w:rsidRPr="00515F4A">
        <w:rPr>
          <w:rFonts w:asciiTheme="minorHAnsi" w:hAnsiTheme="minorHAnsi" w:cstheme="minorHAnsi"/>
          <w:b/>
          <w:sz w:val="20"/>
          <w:szCs w:val="20"/>
        </w:rPr>
        <w:t>(98 opakowań po 60 kapsułek)</w:t>
      </w:r>
    </w:p>
    <w:p w:rsidR="0094360F" w:rsidRPr="00515F4A" w:rsidRDefault="0094360F" w:rsidP="00515F4A">
      <w:pPr>
        <w:pStyle w:val="NormalnyWeb1"/>
        <w:numPr>
          <w:ilvl w:val="0"/>
          <w:numId w:val="3"/>
        </w:numPr>
        <w:spacing w:after="120" w:line="360" w:lineRule="auto"/>
        <w:ind w:left="4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Lek w standardowym opakowaniu producenta</w:t>
      </w:r>
      <w:r w:rsidR="003E33D4" w:rsidRPr="00515F4A">
        <w:rPr>
          <w:rFonts w:asciiTheme="minorHAnsi" w:hAnsiTheme="minorHAnsi" w:cstheme="minorHAnsi"/>
          <w:sz w:val="20"/>
          <w:szCs w:val="20"/>
        </w:rPr>
        <w:t>.</w:t>
      </w:r>
    </w:p>
    <w:p w:rsidR="00C553D6" w:rsidRPr="00515F4A" w:rsidRDefault="003E33D4" w:rsidP="00515F4A">
      <w:pPr>
        <w:pStyle w:val="NormalnyWeb1"/>
        <w:numPr>
          <w:ilvl w:val="0"/>
          <w:numId w:val="3"/>
        </w:numPr>
        <w:spacing w:after="120" w:line="360" w:lineRule="auto"/>
        <w:ind w:left="4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D</w:t>
      </w:r>
      <w:r w:rsidR="00C553D6" w:rsidRPr="00515F4A">
        <w:rPr>
          <w:rFonts w:asciiTheme="minorHAnsi" w:hAnsiTheme="minorHAnsi" w:cstheme="minorHAnsi"/>
          <w:sz w:val="20"/>
          <w:szCs w:val="20"/>
        </w:rPr>
        <w:t xml:space="preserve">ostawa z terminem ważności minimum </w:t>
      </w:r>
      <w:r w:rsidR="0094360F" w:rsidRPr="00515F4A">
        <w:rPr>
          <w:rFonts w:asciiTheme="minorHAnsi" w:hAnsiTheme="minorHAnsi" w:cstheme="minorHAnsi"/>
          <w:sz w:val="20"/>
          <w:szCs w:val="20"/>
        </w:rPr>
        <w:t>12</w:t>
      </w:r>
      <w:r w:rsidR="00C553D6" w:rsidRPr="00515F4A">
        <w:rPr>
          <w:rFonts w:asciiTheme="minorHAnsi" w:hAnsiTheme="minorHAnsi" w:cstheme="minorHAnsi"/>
          <w:sz w:val="20"/>
          <w:szCs w:val="20"/>
        </w:rPr>
        <w:t xml:space="preserve"> miesięcy od daty dostarczenia do Ośrodk</w:t>
      </w:r>
      <w:r w:rsidR="0094360F" w:rsidRPr="00515F4A">
        <w:rPr>
          <w:rFonts w:asciiTheme="minorHAnsi" w:hAnsiTheme="minorHAnsi" w:cstheme="minorHAnsi"/>
          <w:sz w:val="20"/>
          <w:szCs w:val="20"/>
        </w:rPr>
        <w:t>a</w:t>
      </w:r>
      <w:r w:rsidR="00C553D6" w:rsidRPr="00515F4A">
        <w:rPr>
          <w:rFonts w:asciiTheme="minorHAnsi" w:hAnsiTheme="minorHAnsi" w:cstheme="minorHAnsi"/>
          <w:sz w:val="20"/>
          <w:szCs w:val="20"/>
        </w:rPr>
        <w:t xml:space="preserve"> Badawcz</w:t>
      </w:r>
      <w:r w:rsidR="0094360F" w:rsidRPr="00515F4A">
        <w:rPr>
          <w:rFonts w:asciiTheme="minorHAnsi" w:hAnsiTheme="minorHAnsi" w:cstheme="minorHAnsi"/>
          <w:sz w:val="20"/>
          <w:szCs w:val="20"/>
        </w:rPr>
        <w:t>ego</w:t>
      </w:r>
      <w:r w:rsidR="00C553D6" w:rsidRPr="00515F4A">
        <w:rPr>
          <w:rFonts w:asciiTheme="minorHAnsi" w:hAnsiTheme="minorHAnsi" w:cstheme="minorHAnsi"/>
          <w:sz w:val="20"/>
          <w:szCs w:val="20"/>
        </w:rPr>
        <w:t xml:space="preserve"> </w:t>
      </w:r>
      <w:r w:rsidR="0094360F" w:rsidRPr="00515F4A">
        <w:rPr>
          <w:rFonts w:asciiTheme="minorHAnsi" w:hAnsiTheme="minorHAnsi" w:cstheme="minorHAnsi"/>
          <w:sz w:val="20"/>
          <w:szCs w:val="20"/>
        </w:rPr>
        <w:t>(Apteka Uniwersyteckiego Centrum Klinicznego</w:t>
      </w:r>
      <w:r w:rsidR="006E09A2" w:rsidRPr="00515F4A">
        <w:rPr>
          <w:rFonts w:asciiTheme="minorHAnsi" w:hAnsiTheme="minorHAnsi" w:cstheme="minorHAnsi"/>
          <w:sz w:val="20"/>
          <w:szCs w:val="20"/>
        </w:rPr>
        <w:t xml:space="preserve"> w Gdańsku</w:t>
      </w:r>
      <w:r w:rsidR="0094360F" w:rsidRPr="00515F4A">
        <w:rPr>
          <w:rFonts w:asciiTheme="minorHAnsi" w:hAnsiTheme="minorHAnsi" w:cstheme="minorHAnsi"/>
          <w:sz w:val="20"/>
          <w:szCs w:val="20"/>
        </w:rPr>
        <w:t>)</w:t>
      </w:r>
    </w:p>
    <w:p w:rsidR="00176517" w:rsidRPr="00515F4A" w:rsidRDefault="00176517" w:rsidP="00176517">
      <w:pPr>
        <w:pStyle w:val="NormalnyWeb1"/>
        <w:shd w:val="clear" w:color="auto" w:fill="FFFFFF"/>
        <w:spacing w:before="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62648214"/>
      <w:r w:rsidRPr="00515F4A">
        <w:rPr>
          <w:rFonts w:asciiTheme="minorHAnsi" w:hAnsiTheme="minorHAnsi" w:cstheme="minorHAnsi"/>
          <w:b/>
          <w:bCs/>
          <w:sz w:val="20"/>
          <w:szCs w:val="20"/>
        </w:rPr>
        <w:t>Obowiązki Wykonawcy:</w:t>
      </w:r>
    </w:p>
    <w:p w:rsidR="0086507C" w:rsidRPr="00515F4A" w:rsidRDefault="0086507C" w:rsidP="00515F4A">
      <w:pPr>
        <w:pStyle w:val="Zwykytekst"/>
        <w:numPr>
          <w:ilvl w:val="6"/>
          <w:numId w:val="3"/>
        </w:numPr>
        <w:spacing w:after="120"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Zapewnienie dostępności</w:t>
      </w:r>
      <w:r w:rsidR="006E09A2" w:rsidRPr="00515F4A">
        <w:rPr>
          <w:rFonts w:asciiTheme="minorHAnsi" w:hAnsiTheme="minorHAnsi" w:cstheme="minorHAnsi"/>
          <w:sz w:val="20"/>
          <w:szCs w:val="20"/>
        </w:rPr>
        <w:t xml:space="preserve"> zamawianego</w:t>
      </w:r>
      <w:r w:rsidRPr="00515F4A">
        <w:rPr>
          <w:rFonts w:asciiTheme="minorHAnsi" w:hAnsiTheme="minorHAnsi" w:cstheme="minorHAnsi"/>
          <w:sz w:val="20"/>
          <w:szCs w:val="20"/>
        </w:rPr>
        <w:t xml:space="preserve"> Produktu Leczniczego (w okresie trwania niekomercyjnego badania klinicznego, mając na uwadze harmonogram dostaw)</w:t>
      </w:r>
      <w:r w:rsidR="00B43061" w:rsidRPr="00515F4A">
        <w:rPr>
          <w:rFonts w:asciiTheme="minorHAnsi" w:hAnsiTheme="minorHAnsi" w:cstheme="minorHAnsi"/>
          <w:sz w:val="20"/>
          <w:szCs w:val="20"/>
        </w:rPr>
        <w:t>.</w:t>
      </w:r>
    </w:p>
    <w:p w:rsidR="00D62882" w:rsidRPr="00D62882" w:rsidRDefault="00355EEA" w:rsidP="00D62882">
      <w:pPr>
        <w:pStyle w:val="NormalnyWeb1"/>
        <w:numPr>
          <w:ilvl w:val="6"/>
          <w:numId w:val="3"/>
        </w:numPr>
        <w:shd w:val="clear" w:color="auto" w:fill="FFFFFF"/>
        <w:spacing w:before="0" w:after="120" w:line="360" w:lineRule="auto"/>
        <w:ind w:left="426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5F4A">
        <w:rPr>
          <w:rFonts w:asciiTheme="minorHAnsi" w:hAnsiTheme="minorHAnsi" w:cstheme="minorHAnsi"/>
          <w:bCs/>
          <w:sz w:val="20"/>
          <w:szCs w:val="20"/>
        </w:rPr>
        <w:t>Transport</w:t>
      </w:r>
      <w:r w:rsidR="00176517" w:rsidRPr="00515F4A">
        <w:rPr>
          <w:rFonts w:asciiTheme="minorHAnsi" w:hAnsiTheme="minorHAnsi" w:cstheme="minorHAnsi"/>
          <w:bCs/>
          <w:sz w:val="20"/>
          <w:szCs w:val="20"/>
        </w:rPr>
        <w:t xml:space="preserve"> do</w:t>
      </w:r>
      <w:r w:rsidRPr="00515F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6517" w:rsidRPr="00515F4A">
        <w:rPr>
          <w:rFonts w:asciiTheme="minorHAnsi" w:hAnsiTheme="minorHAnsi" w:cstheme="minorHAnsi"/>
          <w:sz w:val="20"/>
          <w:szCs w:val="20"/>
        </w:rPr>
        <w:t>O</w:t>
      </w:r>
      <w:r w:rsidR="0094360F" w:rsidRPr="00515F4A">
        <w:rPr>
          <w:rFonts w:asciiTheme="minorHAnsi" w:hAnsiTheme="minorHAnsi" w:cstheme="minorHAnsi"/>
          <w:sz w:val="20"/>
          <w:szCs w:val="20"/>
        </w:rPr>
        <w:t>środka Badawczego</w:t>
      </w:r>
      <w:r w:rsidR="006E09A2" w:rsidRPr="00515F4A">
        <w:rPr>
          <w:rFonts w:asciiTheme="minorHAnsi" w:hAnsiTheme="minorHAnsi" w:cstheme="minorHAnsi"/>
          <w:sz w:val="20"/>
          <w:szCs w:val="20"/>
        </w:rPr>
        <w:t xml:space="preserve"> (UCK w Gdańsku)</w:t>
      </w:r>
      <w:r w:rsidR="006E09A2" w:rsidRPr="00515F4A">
        <w:rPr>
          <w:rFonts w:asciiTheme="minorHAnsi" w:hAnsiTheme="minorHAnsi" w:cstheme="minorHAnsi"/>
          <w:bCs/>
          <w:sz w:val="20"/>
          <w:szCs w:val="20"/>
        </w:rPr>
        <w:t>;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5F4A">
        <w:rPr>
          <w:rFonts w:asciiTheme="minorHAnsi" w:hAnsiTheme="minorHAnsi" w:cstheme="minorHAnsi"/>
          <w:bCs/>
          <w:sz w:val="20"/>
          <w:szCs w:val="20"/>
        </w:rPr>
        <w:t>dokonanie wszystkich czynności administracyjnych w apte</w:t>
      </w:r>
      <w:r w:rsidR="0094360F" w:rsidRPr="00515F4A">
        <w:rPr>
          <w:rFonts w:asciiTheme="minorHAnsi" w:hAnsiTheme="minorHAnsi" w:cstheme="minorHAnsi"/>
          <w:bCs/>
          <w:sz w:val="20"/>
          <w:szCs w:val="20"/>
        </w:rPr>
        <w:t xml:space="preserve">ce </w:t>
      </w:r>
      <w:r w:rsidRPr="00515F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>O</w:t>
      </w:r>
      <w:r w:rsidRPr="00515F4A">
        <w:rPr>
          <w:rFonts w:asciiTheme="minorHAnsi" w:hAnsiTheme="minorHAnsi" w:cstheme="minorHAnsi"/>
          <w:bCs/>
          <w:sz w:val="20"/>
          <w:szCs w:val="20"/>
        </w:rPr>
        <w:t>środ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>k</w:t>
      </w:r>
      <w:r w:rsidR="0094360F" w:rsidRPr="00515F4A">
        <w:rPr>
          <w:rFonts w:asciiTheme="minorHAnsi" w:hAnsiTheme="minorHAnsi" w:cstheme="minorHAnsi"/>
          <w:bCs/>
          <w:sz w:val="20"/>
          <w:szCs w:val="20"/>
        </w:rPr>
        <w:t>a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 xml:space="preserve">, tj. </w:t>
      </w:r>
      <w:r w:rsidR="004D1353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dostarczenie Sponsorowi w formie elektronicznej na adres email: </w:t>
      </w:r>
      <w:hyperlink r:id="rId8" w:history="1">
        <w:r w:rsidR="004D1353" w:rsidRPr="00AF7DC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magdalena.jaskolska@gumed.edu.pl</w:t>
        </w:r>
      </w:hyperlink>
      <w:r w:rsidR="004D1353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or</w:t>
      </w:r>
      <w:r w:rsidR="004D135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az </w:t>
      </w:r>
      <w:hyperlink r:id="rId9" w:history="1">
        <w:r w:rsidR="004D1353" w:rsidRPr="002510BE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joanna.gaffke@gumed.edu.pl</w:t>
        </w:r>
      </w:hyperlink>
      <w:r w:rsidR="004D135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 xml:space="preserve">poświadczenia odbioru </w:t>
      </w:r>
      <w:r w:rsidR="00B80E45" w:rsidRPr="00515F4A">
        <w:rPr>
          <w:rFonts w:asciiTheme="minorHAnsi" w:hAnsiTheme="minorHAnsi" w:cstheme="minorHAnsi"/>
          <w:bCs/>
          <w:sz w:val="20"/>
          <w:szCs w:val="20"/>
        </w:rPr>
        <w:t xml:space="preserve">Produktu Leczniczego 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 xml:space="preserve">przez upoważniony personel Ośrodka </w:t>
      </w:r>
      <w:bookmarkEnd w:id="1"/>
      <w:r w:rsidR="00AA6A85" w:rsidRPr="00515F4A">
        <w:rPr>
          <w:rFonts w:asciiTheme="minorHAnsi" w:hAnsiTheme="minorHAnsi" w:cstheme="minorHAnsi"/>
          <w:bCs/>
          <w:sz w:val="20"/>
          <w:szCs w:val="20"/>
        </w:rPr>
        <w:t>oraz przekazanie wydruku</w:t>
      </w:r>
      <w:r w:rsidR="002A7603" w:rsidRPr="00515F4A">
        <w:rPr>
          <w:rFonts w:asciiTheme="minorHAnsi" w:hAnsiTheme="minorHAnsi" w:cstheme="minorHAnsi"/>
          <w:bCs/>
          <w:sz w:val="20"/>
          <w:szCs w:val="20"/>
        </w:rPr>
        <w:t xml:space="preserve"> (logu temperaturowego)</w:t>
      </w:r>
      <w:r w:rsidR="00AA6A85" w:rsidRPr="00515F4A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2A7603" w:rsidRPr="00515F4A">
        <w:rPr>
          <w:rFonts w:asciiTheme="minorHAnsi" w:hAnsiTheme="minorHAnsi" w:cstheme="minorHAnsi"/>
          <w:bCs/>
          <w:sz w:val="20"/>
          <w:szCs w:val="20"/>
        </w:rPr>
        <w:t>termorejestratora</w:t>
      </w:r>
      <w:proofErr w:type="spellEnd"/>
      <w:r w:rsidR="002A7603" w:rsidRPr="00515F4A"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="00B25892" w:rsidRPr="00515F4A">
        <w:rPr>
          <w:rFonts w:asciiTheme="minorHAnsi" w:hAnsiTheme="minorHAnsi" w:cstheme="minorHAnsi"/>
          <w:bCs/>
          <w:sz w:val="20"/>
          <w:szCs w:val="20"/>
        </w:rPr>
        <w:t>Badany produkt leczniczy musi być transportowany z zachowaniem wymogów określonych w GDP oraz zgodnie z zasadami opisanymi w aktualnej wersji Charakterystyki Produktu Lecznicz</w:t>
      </w:r>
      <w:r w:rsidR="00B57790" w:rsidRPr="00515F4A">
        <w:rPr>
          <w:rFonts w:asciiTheme="minorHAnsi" w:hAnsiTheme="minorHAnsi" w:cstheme="minorHAnsi"/>
          <w:bCs/>
          <w:sz w:val="20"/>
          <w:szCs w:val="20"/>
        </w:rPr>
        <w:t>e</w:t>
      </w:r>
      <w:r w:rsidR="00B25892" w:rsidRPr="00515F4A">
        <w:rPr>
          <w:rFonts w:asciiTheme="minorHAnsi" w:hAnsiTheme="minorHAnsi" w:cstheme="minorHAnsi"/>
          <w:bCs/>
          <w:sz w:val="20"/>
          <w:szCs w:val="20"/>
        </w:rPr>
        <w:t>go (</w:t>
      </w:r>
      <w:proofErr w:type="spellStart"/>
      <w:r w:rsidR="00B25892" w:rsidRPr="00515F4A">
        <w:rPr>
          <w:rFonts w:asciiTheme="minorHAnsi" w:hAnsiTheme="minorHAnsi" w:cstheme="minorHAnsi"/>
          <w:bCs/>
          <w:sz w:val="20"/>
          <w:szCs w:val="20"/>
        </w:rPr>
        <w:t>ChPL</w:t>
      </w:r>
      <w:proofErr w:type="spellEnd"/>
      <w:r w:rsidR="00B25892" w:rsidRPr="00515F4A">
        <w:rPr>
          <w:rFonts w:asciiTheme="minorHAnsi" w:hAnsiTheme="minorHAnsi" w:cstheme="minorHAnsi"/>
          <w:bCs/>
          <w:sz w:val="20"/>
          <w:szCs w:val="20"/>
        </w:rPr>
        <w:t>)</w:t>
      </w:r>
      <w:r w:rsidR="00382085" w:rsidRPr="00515F4A">
        <w:rPr>
          <w:rFonts w:asciiTheme="minorHAnsi" w:hAnsiTheme="minorHAnsi" w:cstheme="minorHAnsi"/>
          <w:bCs/>
          <w:sz w:val="20"/>
          <w:szCs w:val="20"/>
        </w:rPr>
        <w:t xml:space="preserve"> (temperatura pokojowa).</w:t>
      </w:r>
      <w:r w:rsidR="00C4356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F0C77" w:rsidRPr="00515F4A" w:rsidRDefault="00D91EE9" w:rsidP="00515F4A">
      <w:pPr>
        <w:pStyle w:val="NormalnyWeb1"/>
        <w:shd w:val="clear" w:color="auto" w:fill="FFFFFF"/>
        <w:spacing w:after="120" w:line="360" w:lineRule="auto"/>
        <w:ind w:left="283" w:hanging="141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3 </w:t>
      </w:r>
      <w:r w:rsidR="00332528" w:rsidRPr="00515F4A">
        <w:rPr>
          <w:rFonts w:asciiTheme="minorHAnsi" w:hAnsiTheme="minorHAnsi" w:cstheme="minorHAnsi"/>
          <w:sz w:val="20"/>
          <w:szCs w:val="20"/>
        </w:rPr>
        <w:t xml:space="preserve">. </w:t>
      </w:r>
      <w:r w:rsidR="00DF0C77" w:rsidRPr="00515F4A">
        <w:rPr>
          <w:rFonts w:asciiTheme="minorHAnsi" w:hAnsiTheme="minorHAnsi" w:cstheme="minorHAnsi"/>
          <w:sz w:val="20"/>
          <w:szCs w:val="20"/>
        </w:rPr>
        <w:t>Dostarczenie Zamawiającemu dokumentacji związanej z badanym produktem leczniczym, tj.:</w:t>
      </w:r>
    </w:p>
    <w:p w:rsidR="00DF0C77" w:rsidRPr="00515F4A" w:rsidRDefault="00176517" w:rsidP="00515F4A">
      <w:pPr>
        <w:pStyle w:val="NormalnyWeb1"/>
        <w:numPr>
          <w:ilvl w:val="0"/>
          <w:numId w:val="15"/>
        </w:numPr>
        <w:shd w:val="clear" w:color="auto" w:fill="FFFFFF"/>
        <w:spacing w:after="120"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Certyfikatu GMP Wytwórcy;</w:t>
      </w:r>
    </w:p>
    <w:p w:rsidR="00176517" w:rsidRPr="00515F4A" w:rsidRDefault="00176517" w:rsidP="00515F4A">
      <w:pPr>
        <w:pStyle w:val="NormalnyWeb1"/>
        <w:numPr>
          <w:ilvl w:val="0"/>
          <w:numId w:val="15"/>
        </w:numPr>
        <w:shd w:val="clear" w:color="auto" w:fill="FFFFFF"/>
        <w:spacing w:after="120"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Zezwolenia na wytwarzanie produktu leczniczego;</w:t>
      </w:r>
    </w:p>
    <w:p w:rsidR="00176517" w:rsidRPr="00515F4A" w:rsidRDefault="00176517" w:rsidP="00515F4A">
      <w:pPr>
        <w:pStyle w:val="NormalnyWeb1"/>
        <w:shd w:val="clear" w:color="auto" w:fill="FFFFFF"/>
        <w:spacing w:after="120"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Jeśli Wykonawca posiada status hurtowni farmaceutycznej </w:t>
      </w:r>
      <w:r w:rsidRPr="004D1353">
        <w:rPr>
          <w:rFonts w:asciiTheme="minorHAnsi" w:hAnsiTheme="minorHAnsi" w:cstheme="minorHAnsi"/>
          <w:strike/>
          <w:color w:val="FF0000"/>
          <w:sz w:val="20"/>
          <w:szCs w:val="20"/>
        </w:rPr>
        <w:t>– także:</w:t>
      </w:r>
    </w:p>
    <w:p w:rsidR="00176517" w:rsidRPr="00515F4A" w:rsidRDefault="00176517" w:rsidP="00515F4A">
      <w:pPr>
        <w:pStyle w:val="NormalnyWeb1"/>
        <w:numPr>
          <w:ilvl w:val="0"/>
          <w:numId w:val="16"/>
        </w:numPr>
        <w:shd w:val="clear" w:color="auto" w:fill="FFFFFF"/>
        <w:spacing w:after="120"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 xml:space="preserve">Zezwolenia na prowadzenie obrotu hurtowego badanymi produktami leczniczymi, </w:t>
      </w:r>
    </w:p>
    <w:p w:rsidR="00176517" w:rsidRDefault="00176517" w:rsidP="00515F4A">
      <w:pPr>
        <w:pStyle w:val="NormalnyWeb1"/>
        <w:numPr>
          <w:ilvl w:val="0"/>
          <w:numId w:val="16"/>
        </w:numPr>
        <w:shd w:val="clear" w:color="auto" w:fill="FFFFFF"/>
        <w:spacing w:after="120"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5F4A">
        <w:rPr>
          <w:rFonts w:asciiTheme="minorHAnsi" w:hAnsiTheme="minorHAnsi" w:cstheme="minorHAnsi"/>
          <w:sz w:val="20"/>
          <w:szCs w:val="20"/>
        </w:rPr>
        <w:t>Certyfikatu GDP (o ile posiada).</w:t>
      </w:r>
    </w:p>
    <w:p w:rsidR="00515F4A" w:rsidRDefault="00515F4A" w:rsidP="00515F4A">
      <w:pPr>
        <w:pStyle w:val="NormalnyWeb1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5F4A" w:rsidRPr="00515F4A" w:rsidRDefault="00515F4A" w:rsidP="00515F4A">
      <w:pPr>
        <w:pStyle w:val="NormalnyWeb1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6517" w:rsidRPr="00F063D7" w:rsidRDefault="00E06F86" w:rsidP="00176517">
      <w:pPr>
        <w:pStyle w:val="NormalnyWeb1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sz w:val="20"/>
          <w:szCs w:val="20"/>
        </w:rPr>
        <w:t xml:space="preserve"> </w:t>
      </w:r>
      <w:r w:rsidR="00176517" w:rsidRPr="00F063D7">
        <w:rPr>
          <w:rFonts w:ascii="Calibri" w:hAnsi="Calibri" w:cs="Calibri"/>
          <w:sz w:val="20"/>
          <w:szCs w:val="20"/>
        </w:rPr>
        <w:t>Wykonawca zapewni, że:</w:t>
      </w:r>
    </w:p>
    <w:p w:rsidR="00176517" w:rsidRPr="00F063D7" w:rsidRDefault="00176517" w:rsidP="00176517">
      <w:pPr>
        <w:pStyle w:val="NormalnyWeb1"/>
        <w:numPr>
          <w:ilvl w:val="0"/>
          <w:numId w:val="17"/>
        </w:numPr>
        <w:shd w:val="clear" w:color="auto" w:fill="FFFFFF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sz w:val="20"/>
          <w:szCs w:val="20"/>
        </w:rPr>
        <w:t>dostarczany w ramach niniejszej umowy produkt leczniczy jest dopuszczony do obrotu na terenie Rzeczypospolitej Polskiej;</w:t>
      </w:r>
    </w:p>
    <w:p w:rsidR="00176517" w:rsidRPr="00F063D7" w:rsidRDefault="00176517" w:rsidP="00176517">
      <w:pPr>
        <w:pStyle w:val="NormalnyWeb1"/>
        <w:numPr>
          <w:ilvl w:val="0"/>
          <w:numId w:val="17"/>
        </w:numPr>
        <w:shd w:val="clear" w:color="auto" w:fill="FFFFFF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sz w:val="20"/>
          <w:szCs w:val="20"/>
        </w:rPr>
        <w:t>przedmiot umowy jest nowy, wolny od wad fizycznych i prawnych oraz nie jest przedmiotem praw osób trzecich ani postępowań sądowych, administracyjnych, sądowo-administracyjnych</w:t>
      </w:r>
      <w:r w:rsidR="00E06F86" w:rsidRPr="00F063D7">
        <w:rPr>
          <w:rFonts w:ascii="Calibri" w:hAnsi="Calibri" w:cs="Calibri"/>
          <w:sz w:val="20"/>
          <w:szCs w:val="20"/>
        </w:rPr>
        <w:t>, których konsekwencją jest lub mogłoby być ograniczenie czy też wyłączenie prawa Wykonawcy do rozporządzania przedmiotem umowy;</w:t>
      </w:r>
    </w:p>
    <w:p w:rsidR="00E06F86" w:rsidRPr="00F063D7" w:rsidRDefault="00E06F86" w:rsidP="00E06F86">
      <w:pPr>
        <w:pStyle w:val="NormalnyWeb1"/>
        <w:numPr>
          <w:ilvl w:val="0"/>
          <w:numId w:val="17"/>
        </w:numPr>
        <w:shd w:val="clear" w:color="auto" w:fill="FFFFFF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sz w:val="20"/>
          <w:szCs w:val="20"/>
        </w:rPr>
        <w:t>przedmiot umowy jest kompletny i posiada wszelkie właściwości, które zostały opisane w niniejszym OPZ( Opisie Przedmiotu Zamówienia)</w:t>
      </w:r>
    </w:p>
    <w:p w:rsidR="00E06F86" w:rsidRDefault="00E06F86" w:rsidP="00515F4A">
      <w:pPr>
        <w:pStyle w:val="NormalnyWeb1"/>
        <w:numPr>
          <w:ilvl w:val="0"/>
          <w:numId w:val="17"/>
        </w:numPr>
        <w:shd w:val="clear" w:color="auto" w:fill="FFFFFF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063D7">
        <w:rPr>
          <w:rFonts w:ascii="Calibri" w:hAnsi="Calibri" w:cs="Calibri"/>
          <w:sz w:val="20"/>
          <w:szCs w:val="20"/>
        </w:rPr>
        <w:t xml:space="preserve">Wykonawca gwarantuje i bierze za to – zarówno wobec Zamawiającego jak i podmiotów trzecich – pełną odpowiedzialność, że dostarczane w ramach realizacji niniejszej umowy produkty lecznicze przez cały okres jej obowiązywania będą posiadały wszelkie wymagane polskim prawem dopuszczenia i rejestracje, a także termin ważności nie krótszy niż 12 miesięcy, licząc od dnia ich dostarczenia do Ośrodka, oraz że nie będą stanowić </w:t>
      </w:r>
      <w:r w:rsidR="00B25892" w:rsidRPr="00F063D7">
        <w:rPr>
          <w:rFonts w:ascii="Calibri" w:hAnsi="Calibri" w:cs="Calibri"/>
          <w:sz w:val="20"/>
          <w:szCs w:val="20"/>
        </w:rPr>
        <w:t>zagrożenia dla zdrowia i życia ludzkiego. Ponadto Wykonawca zobowiązuje się na własny koszt i ryzyko informować na bieżąco Zamawiającego o wstrzymaniu/wycofaniu z obrotu produktu leczniczego oraz innych faktach mających istotne znaczenie dla jego użycia.</w:t>
      </w:r>
    </w:p>
    <w:p w:rsidR="00BA769F" w:rsidRDefault="00BA769F" w:rsidP="00BA769F">
      <w:pPr>
        <w:pStyle w:val="NormalnyWeb1"/>
        <w:shd w:val="clear" w:color="auto" w:fill="FFFFFF"/>
        <w:spacing w:after="120" w:line="360" w:lineRule="auto"/>
        <w:ind w:left="1375"/>
        <w:jc w:val="both"/>
        <w:rPr>
          <w:rFonts w:ascii="Calibri" w:hAnsi="Calibri" w:cs="Calibri"/>
          <w:color w:val="FF0000"/>
          <w:sz w:val="20"/>
          <w:szCs w:val="20"/>
        </w:rPr>
      </w:pPr>
      <w:bookmarkStart w:id="2" w:name="_Hlk111197157"/>
      <w:r w:rsidRPr="00BA769F">
        <w:rPr>
          <w:rFonts w:ascii="Calibri" w:hAnsi="Calibri" w:cs="Calibri"/>
          <w:color w:val="FF0000"/>
          <w:sz w:val="20"/>
          <w:szCs w:val="20"/>
        </w:rPr>
        <w:t>W przypadku Wykonawcy będącego hurtownią farmaceutyczną</w:t>
      </w:r>
      <w:r>
        <w:rPr>
          <w:rFonts w:ascii="Calibri" w:hAnsi="Calibri" w:cs="Calibri"/>
          <w:color w:val="FF0000"/>
          <w:sz w:val="20"/>
          <w:szCs w:val="20"/>
        </w:rPr>
        <w:t>:</w:t>
      </w:r>
    </w:p>
    <w:p w:rsidR="00BA769F" w:rsidRPr="00BA769F" w:rsidRDefault="00BA769F" w:rsidP="00236105">
      <w:pPr>
        <w:pStyle w:val="NormalnyWeb1"/>
        <w:shd w:val="clear" w:color="auto" w:fill="FFFFFF"/>
        <w:spacing w:after="120" w:line="360" w:lineRule="auto"/>
        <w:ind w:left="1375"/>
        <w:jc w:val="both"/>
        <w:rPr>
          <w:rFonts w:ascii="Calibri" w:hAnsi="Calibri" w:cs="Calibri"/>
          <w:color w:val="FF0000"/>
          <w:sz w:val="20"/>
          <w:szCs w:val="20"/>
        </w:rPr>
      </w:pPr>
      <w:r w:rsidRPr="00BA769F">
        <w:rPr>
          <w:rFonts w:ascii="Calibri" w:hAnsi="Calibri" w:cs="Calibri"/>
          <w:color w:val="FF0000"/>
          <w:sz w:val="20"/>
          <w:szCs w:val="20"/>
        </w:rPr>
        <w:t xml:space="preserve">Wykonawca gwarantuje i bierze za to – zarówno wobec Zamawiającego jak i podmiotów trzecich – pełną odpowiedzialność, że dostarczane w ramach realizacji niniejszej umowy produkty lecznicze przez cały okres jej obowiązywania </w:t>
      </w:r>
      <w:r w:rsidR="00236105">
        <w:rPr>
          <w:rFonts w:ascii="Calibri" w:hAnsi="Calibri" w:cs="Calibri"/>
          <w:color w:val="FF0000"/>
          <w:sz w:val="20"/>
          <w:szCs w:val="20"/>
        </w:rPr>
        <w:t xml:space="preserve">oraz, że </w:t>
      </w:r>
      <w:r w:rsidRPr="00BA769F">
        <w:rPr>
          <w:rFonts w:ascii="Calibri" w:hAnsi="Calibri" w:cs="Calibri"/>
          <w:color w:val="FF0000"/>
          <w:sz w:val="20"/>
          <w:szCs w:val="20"/>
        </w:rPr>
        <w:t>będą posiadały termin ważności nie krótszy niż 12 miesięcy, licząc od dnia ich dostarczenia do Ośrodka. Ponadto Wykonawca zobowiązuje się informować na bieżąco Zamawiającego o wstrzymaniu/wycofaniu z obrotu produktu leczniczego oraz innych faktach mających istotne znaczenie dla jego użycia.</w:t>
      </w:r>
      <w:bookmarkEnd w:id="2"/>
    </w:p>
    <w:p w:rsidR="00BE1DD3" w:rsidRPr="00F063D7" w:rsidRDefault="00BE1DD3" w:rsidP="00BE1DD3">
      <w:pPr>
        <w:pStyle w:val="NormalnyWeb1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3D7">
        <w:rPr>
          <w:rFonts w:asciiTheme="minorHAnsi" w:hAnsiTheme="minorHAnsi" w:cstheme="minorHAnsi"/>
          <w:sz w:val="20"/>
          <w:szCs w:val="20"/>
        </w:rPr>
        <w:t>Wykonawca zobowiązany jest przekazać Zamawiającemu, nie później niż w ciągu 48 h od dnia dostarczenia produktu leczniczego do danego Ośrodka, dokumentacj</w:t>
      </w:r>
      <w:r w:rsidR="00145F45" w:rsidRPr="00F063D7">
        <w:rPr>
          <w:rFonts w:asciiTheme="minorHAnsi" w:hAnsiTheme="minorHAnsi" w:cstheme="minorHAnsi"/>
          <w:sz w:val="20"/>
          <w:szCs w:val="20"/>
        </w:rPr>
        <w:t>i</w:t>
      </w:r>
      <w:r w:rsidRPr="00F063D7">
        <w:rPr>
          <w:rFonts w:asciiTheme="minorHAnsi" w:hAnsiTheme="minorHAnsi" w:cstheme="minorHAnsi"/>
          <w:sz w:val="20"/>
          <w:szCs w:val="20"/>
        </w:rPr>
        <w:t xml:space="preserve"> związan</w:t>
      </w:r>
      <w:r w:rsidR="00145F45" w:rsidRPr="00F063D7">
        <w:rPr>
          <w:rFonts w:asciiTheme="minorHAnsi" w:hAnsiTheme="minorHAnsi" w:cstheme="minorHAnsi"/>
          <w:sz w:val="20"/>
          <w:szCs w:val="20"/>
        </w:rPr>
        <w:t>ej</w:t>
      </w:r>
      <w:r w:rsidRPr="00F063D7">
        <w:rPr>
          <w:rFonts w:asciiTheme="minorHAnsi" w:hAnsiTheme="minorHAnsi" w:cstheme="minorHAnsi"/>
          <w:sz w:val="20"/>
          <w:szCs w:val="20"/>
        </w:rPr>
        <w:t xml:space="preserve"> z transportem produktu leczniczego do danego Ośrodka, </w:t>
      </w:r>
      <w:r w:rsidR="00424BB3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w formie elektronicznej na adres email: </w:t>
      </w:r>
      <w:hyperlink r:id="rId10" w:history="1">
        <w:r w:rsidR="00424BB3" w:rsidRPr="00AF7DC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magdalena.jaskolska@gumed.edu.pl</w:t>
        </w:r>
      </w:hyperlink>
      <w:r w:rsidR="00424BB3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or</w:t>
      </w:r>
      <w:r w:rsidR="00424BB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az </w:t>
      </w:r>
      <w:hyperlink r:id="rId11" w:history="1">
        <w:r w:rsidR="00424BB3" w:rsidRPr="00424BB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joanna.gaffke@gumed.edu.pl</w:t>
        </w:r>
      </w:hyperlink>
      <w:r w:rsidR="00424BB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F063D7">
        <w:rPr>
          <w:rFonts w:asciiTheme="minorHAnsi" w:hAnsiTheme="minorHAnsi" w:cstheme="minorHAnsi"/>
          <w:sz w:val="20"/>
          <w:szCs w:val="20"/>
        </w:rPr>
        <w:t>w tym:</w:t>
      </w:r>
    </w:p>
    <w:p w:rsidR="00BE1DD3" w:rsidRPr="00F063D7" w:rsidRDefault="00EC3041" w:rsidP="0014046A">
      <w:pPr>
        <w:pStyle w:val="NormalnyWeb1"/>
        <w:numPr>
          <w:ilvl w:val="1"/>
          <w:numId w:val="3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3D7">
        <w:rPr>
          <w:rFonts w:asciiTheme="minorHAnsi" w:hAnsiTheme="minorHAnsi" w:cstheme="minorHAnsi"/>
          <w:sz w:val="20"/>
          <w:szCs w:val="20"/>
        </w:rPr>
        <w:t xml:space="preserve">Poświadczenie </w:t>
      </w:r>
      <w:r w:rsidR="00BE1DD3" w:rsidRPr="00F063D7">
        <w:rPr>
          <w:rFonts w:asciiTheme="minorHAnsi" w:hAnsiTheme="minorHAnsi" w:cstheme="minorHAnsi"/>
          <w:sz w:val="20"/>
          <w:szCs w:val="20"/>
        </w:rPr>
        <w:t xml:space="preserve">odbioru badanego produktu leczniczego w Ośrodku, </w:t>
      </w:r>
      <w:r w:rsidRPr="00F063D7">
        <w:rPr>
          <w:rFonts w:asciiTheme="minorHAnsi" w:hAnsiTheme="minorHAnsi" w:cstheme="minorHAnsi"/>
          <w:sz w:val="20"/>
          <w:szCs w:val="20"/>
        </w:rPr>
        <w:t xml:space="preserve">podpisane </w:t>
      </w:r>
      <w:r w:rsidR="00BE1DD3" w:rsidRPr="00F063D7">
        <w:rPr>
          <w:rFonts w:asciiTheme="minorHAnsi" w:hAnsiTheme="minorHAnsi" w:cstheme="minorHAnsi"/>
          <w:sz w:val="20"/>
          <w:szCs w:val="20"/>
        </w:rPr>
        <w:t>przez upoważnioną osobę w Ośrodku</w:t>
      </w:r>
      <w:r w:rsidR="00F063D7">
        <w:rPr>
          <w:rFonts w:asciiTheme="minorHAnsi" w:hAnsiTheme="minorHAnsi" w:cstheme="minorHAnsi"/>
          <w:sz w:val="20"/>
          <w:szCs w:val="20"/>
        </w:rPr>
        <w:t>,</w:t>
      </w:r>
      <w:bookmarkStart w:id="3" w:name="_GoBack"/>
      <w:bookmarkEnd w:id="3"/>
    </w:p>
    <w:p w:rsidR="00EC3041" w:rsidRPr="00F063D7" w:rsidRDefault="0014046A" w:rsidP="007B03DA">
      <w:pPr>
        <w:pStyle w:val="NormalnyWeb1"/>
        <w:numPr>
          <w:ilvl w:val="1"/>
          <w:numId w:val="3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3D7">
        <w:rPr>
          <w:rFonts w:asciiTheme="minorHAnsi" w:hAnsiTheme="minorHAnsi" w:cstheme="minorHAnsi"/>
          <w:sz w:val="20"/>
          <w:szCs w:val="20"/>
        </w:rPr>
        <w:lastRenderedPageBreak/>
        <w:t xml:space="preserve">wydruk pomiarów temperatury </w:t>
      </w:r>
      <w:r w:rsidRPr="00A5478D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i </w:t>
      </w:r>
      <w:r w:rsidR="005626B5" w:rsidRPr="00A5478D">
        <w:rPr>
          <w:rFonts w:asciiTheme="minorHAnsi" w:hAnsiTheme="minorHAnsi" w:cstheme="minorHAnsi"/>
          <w:strike/>
          <w:color w:val="FF0000"/>
          <w:sz w:val="20"/>
          <w:szCs w:val="20"/>
        </w:rPr>
        <w:t>-</w:t>
      </w:r>
      <w:r w:rsidRPr="00A5478D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 wilgotności powietrza</w:t>
      </w:r>
      <w:r w:rsidRPr="00A5478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F063D7">
        <w:rPr>
          <w:rFonts w:asciiTheme="minorHAnsi" w:hAnsiTheme="minorHAnsi" w:cstheme="minorHAnsi"/>
          <w:sz w:val="20"/>
          <w:szCs w:val="20"/>
        </w:rPr>
        <w:t>z rejestratorów, które zostały zarejestrowane podczas transportu badanych produktów  leczniczych.</w:t>
      </w:r>
    </w:p>
    <w:p w:rsidR="00B80E45" w:rsidRPr="00F063D7" w:rsidRDefault="00616CD3" w:rsidP="007B03DA">
      <w:pPr>
        <w:pStyle w:val="NormalnyWeb1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3D7">
        <w:rPr>
          <w:rFonts w:asciiTheme="minorHAnsi" w:hAnsiTheme="minorHAnsi" w:cstheme="minorHAnsi"/>
          <w:b/>
          <w:sz w:val="20"/>
          <w:szCs w:val="20"/>
        </w:rPr>
        <w:t>SZCZEGÓŁOWE WARUNKI REALIZACJI ZAMÓWIENIA</w:t>
      </w:r>
    </w:p>
    <w:p w:rsidR="00AF417D" w:rsidRPr="00F063D7" w:rsidRDefault="00AF417D" w:rsidP="0050709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063D7">
        <w:rPr>
          <w:rFonts w:asciiTheme="minorHAnsi" w:hAnsiTheme="minorHAnsi" w:cstheme="minorHAnsi"/>
          <w:b/>
          <w:sz w:val="20"/>
          <w:szCs w:val="20"/>
        </w:rPr>
        <w:t>Okres realizacji</w:t>
      </w:r>
      <w:r w:rsidR="008E10D5" w:rsidRPr="00F063D7">
        <w:rPr>
          <w:rFonts w:asciiTheme="minorHAnsi" w:hAnsiTheme="minorHAnsi" w:cstheme="minorHAnsi"/>
          <w:b/>
          <w:sz w:val="20"/>
          <w:szCs w:val="20"/>
        </w:rPr>
        <w:t xml:space="preserve"> dostawy</w:t>
      </w:r>
      <w:r w:rsidRPr="00F063D7">
        <w:rPr>
          <w:rFonts w:asciiTheme="minorHAnsi" w:hAnsiTheme="minorHAnsi" w:cstheme="minorHAnsi"/>
          <w:b/>
          <w:sz w:val="20"/>
          <w:szCs w:val="20"/>
        </w:rPr>
        <w:t>:</w:t>
      </w:r>
    </w:p>
    <w:p w:rsidR="00D7177A" w:rsidRPr="00F063D7" w:rsidRDefault="00AF417D" w:rsidP="00507096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063D7">
        <w:rPr>
          <w:rFonts w:asciiTheme="minorHAnsi" w:hAnsiTheme="minorHAnsi" w:cstheme="minorHAnsi"/>
          <w:bCs/>
          <w:sz w:val="20"/>
          <w:szCs w:val="20"/>
        </w:rPr>
        <w:t xml:space="preserve">Realizacja </w:t>
      </w:r>
      <w:r w:rsidR="008E10D5" w:rsidRPr="00F063D7">
        <w:rPr>
          <w:rFonts w:asciiTheme="minorHAnsi" w:hAnsiTheme="minorHAnsi" w:cstheme="minorHAnsi"/>
          <w:bCs/>
          <w:sz w:val="20"/>
          <w:szCs w:val="20"/>
        </w:rPr>
        <w:t xml:space="preserve">dostaw </w:t>
      </w:r>
      <w:r w:rsidRPr="00F063D7">
        <w:rPr>
          <w:rFonts w:asciiTheme="minorHAnsi" w:hAnsiTheme="minorHAnsi" w:cstheme="minorHAnsi"/>
          <w:bCs/>
          <w:sz w:val="20"/>
          <w:szCs w:val="20"/>
        </w:rPr>
        <w:t>od momentu podpisania umowy do zakończenia badania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>, tj. przez okres 36 miesięcy, będzie następowa</w:t>
      </w:r>
      <w:r w:rsidR="00BA00F8" w:rsidRPr="00F063D7">
        <w:rPr>
          <w:rFonts w:asciiTheme="minorHAnsi" w:hAnsiTheme="minorHAnsi" w:cstheme="minorHAnsi"/>
          <w:bCs/>
          <w:sz w:val="20"/>
          <w:szCs w:val="20"/>
        </w:rPr>
        <w:t>ła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A00F8" w:rsidRPr="00F063D7">
        <w:rPr>
          <w:rFonts w:asciiTheme="minorHAnsi" w:hAnsiTheme="minorHAnsi" w:cstheme="minorHAnsi"/>
          <w:bCs/>
          <w:sz w:val="20"/>
          <w:szCs w:val="20"/>
        </w:rPr>
        <w:t>poprzez</w:t>
      </w:r>
      <w:r w:rsidR="00406B87" w:rsidRPr="00F063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>pisemne zamówienie</w:t>
      </w:r>
      <w:r w:rsidR="00406B87" w:rsidRPr="00F063D7">
        <w:rPr>
          <w:rFonts w:asciiTheme="minorHAnsi" w:hAnsiTheme="minorHAnsi" w:cstheme="minorHAnsi"/>
          <w:bCs/>
          <w:sz w:val="20"/>
          <w:szCs w:val="20"/>
        </w:rPr>
        <w:t xml:space="preserve"> (np. w formie e-mail)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>, każdorazowo w ilościach koniecznych do zapewnienia leczenia pacjentom włączanym do badania. Ilości te będą każdorazowo</w:t>
      </w:r>
      <w:r w:rsidR="00406B87" w:rsidRPr="00F063D7">
        <w:rPr>
          <w:rFonts w:asciiTheme="minorHAnsi" w:hAnsiTheme="minorHAnsi" w:cstheme="minorHAnsi"/>
          <w:bCs/>
          <w:sz w:val="20"/>
          <w:szCs w:val="20"/>
        </w:rPr>
        <w:t xml:space="preserve"> w zamówieniu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 xml:space="preserve"> określ</w:t>
      </w:r>
      <w:r w:rsidR="00C14B82" w:rsidRPr="00F063D7">
        <w:rPr>
          <w:rFonts w:asciiTheme="minorHAnsi" w:hAnsiTheme="minorHAnsi" w:cstheme="minorHAnsi"/>
          <w:bCs/>
          <w:sz w:val="20"/>
          <w:szCs w:val="20"/>
        </w:rPr>
        <w:t>o</w:t>
      </w:r>
      <w:r w:rsidR="001C25DA" w:rsidRPr="00F063D7">
        <w:rPr>
          <w:rFonts w:asciiTheme="minorHAnsi" w:hAnsiTheme="minorHAnsi" w:cstheme="minorHAnsi"/>
          <w:bCs/>
          <w:sz w:val="20"/>
          <w:szCs w:val="20"/>
        </w:rPr>
        <w:t>ne</w:t>
      </w:r>
      <w:r w:rsidR="0057483A" w:rsidRPr="00F063D7">
        <w:rPr>
          <w:rFonts w:asciiTheme="minorHAnsi" w:hAnsiTheme="minorHAnsi" w:cstheme="minorHAnsi"/>
          <w:bCs/>
          <w:sz w:val="20"/>
          <w:szCs w:val="20"/>
        </w:rPr>
        <w:t xml:space="preserve"> przez Sponsora. </w:t>
      </w:r>
    </w:p>
    <w:p w:rsidR="00D7177A" w:rsidRPr="00F063D7" w:rsidRDefault="00D7177A" w:rsidP="00507096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063D7">
        <w:rPr>
          <w:rFonts w:asciiTheme="minorHAnsi" w:hAnsiTheme="minorHAnsi" w:cstheme="minorHAnsi"/>
          <w:bCs/>
          <w:sz w:val="20"/>
          <w:szCs w:val="20"/>
        </w:rPr>
        <w:t xml:space="preserve">Czas trwania badania oraz czas dostawy będzie wynosił 36 miesięcy, przy czym pacjenci włączani do badania będą sukcesywnie przez okres 24 miesięcy. Każdy pacjent w powyższym badaniu będzie podlegał leczeniu produktem </w:t>
      </w:r>
      <w:r w:rsidR="00D62882">
        <w:rPr>
          <w:rFonts w:asciiTheme="minorHAnsi" w:hAnsiTheme="minorHAnsi" w:cstheme="minorHAnsi"/>
          <w:bCs/>
          <w:sz w:val="20"/>
          <w:szCs w:val="20"/>
        </w:rPr>
        <w:t xml:space="preserve">leczniczym zawierający substancję aktywną </w:t>
      </w:r>
      <w:proofErr w:type="spellStart"/>
      <w:r w:rsidR="00D62882">
        <w:rPr>
          <w:rFonts w:asciiTheme="minorHAnsi" w:hAnsiTheme="minorHAnsi" w:cstheme="minorHAnsi"/>
          <w:bCs/>
          <w:sz w:val="20"/>
          <w:szCs w:val="20"/>
        </w:rPr>
        <w:t>nintedanib</w:t>
      </w:r>
      <w:proofErr w:type="spellEnd"/>
      <w:r w:rsidR="00D628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63D7">
        <w:rPr>
          <w:rFonts w:asciiTheme="minorHAnsi" w:hAnsiTheme="minorHAnsi" w:cstheme="minorHAnsi"/>
          <w:bCs/>
          <w:sz w:val="20"/>
          <w:szCs w:val="20"/>
        </w:rPr>
        <w:t>przez 12 miesięcy.</w:t>
      </w:r>
    </w:p>
    <w:p w:rsidR="001C25DA" w:rsidRPr="00D62882" w:rsidRDefault="001C25DA" w:rsidP="00507096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063D7">
        <w:rPr>
          <w:rFonts w:asciiTheme="minorHAnsi" w:hAnsiTheme="minorHAnsi" w:cstheme="minorHAnsi"/>
          <w:bCs/>
          <w:sz w:val="20"/>
          <w:szCs w:val="20"/>
        </w:rPr>
        <w:t>Czas od zamówienia do dostarczenia</w:t>
      </w:r>
      <w:r w:rsidR="0057483A" w:rsidRPr="00F063D7">
        <w:rPr>
          <w:rFonts w:asciiTheme="minorHAnsi" w:hAnsiTheme="minorHAnsi" w:cstheme="minorHAnsi"/>
          <w:bCs/>
          <w:sz w:val="20"/>
          <w:szCs w:val="20"/>
        </w:rPr>
        <w:t xml:space="preserve"> produktu leczniczego</w:t>
      </w:r>
      <w:r w:rsidRPr="00F063D7">
        <w:rPr>
          <w:rFonts w:asciiTheme="minorHAnsi" w:hAnsiTheme="minorHAnsi" w:cstheme="minorHAnsi"/>
          <w:bCs/>
          <w:sz w:val="20"/>
          <w:szCs w:val="20"/>
        </w:rPr>
        <w:t xml:space="preserve"> do Apteki Ośrodka </w:t>
      </w:r>
      <w:r w:rsidR="0057483A" w:rsidRPr="00F063D7">
        <w:rPr>
          <w:rFonts w:asciiTheme="minorHAnsi" w:hAnsiTheme="minorHAnsi" w:cstheme="minorHAnsi"/>
          <w:bCs/>
          <w:sz w:val="20"/>
          <w:szCs w:val="20"/>
        </w:rPr>
        <w:t>badawczego</w:t>
      </w:r>
      <w:r w:rsidRPr="00F063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483A" w:rsidRPr="00F063D7">
        <w:rPr>
          <w:rFonts w:asciiTheme="minorHAnsi" w:hAnsiTheme="minorHAnsi" w:cstheme="minorHAnsi"/>
          <w:bCs/>
          <w:sz w:val="20"/>
          <w:szCs w:val="20"/>
        </w:rPr>
        <w:t xml:space="preserve">wynosi </w:t>
      </w:r>
      <w:r w:rsidRPr="00F063D7">
        <w:rPr>
          <w:rFonts w:asciiTheme="minorHAnsi" w:hAnsiTheme="minorHAnsi" w:cstheme="minorHAnsi"/>
          <w:bCs/>
          <w:sz w:val="20"/>
          <w:szCs w:val="20"/>
        </w:rPr>
        <w:t xml:space="preserve">maksymalnie </w:t>
      </w:r>
      <w:r w:rsidR="00C80EC2" w:rsidRPr="00F063D7">
        <w:rPr>
          <w:rFonts w:asciiTheme="minorHAnsi" w:hAnsiTheme="minorHAnsi" w:cstheme="minorHAnsi"/>
          <w:b/>
          <w:sz w:val="20"/>
          <w:szCs w:val="20"/>
        </w:rPr>
        <w:t>14</w:t>
      </w:r>
      <w:r w:rsidRPr="00F063D7">
        <w:rPr>
          <w:rFonts w:asciiTheme="minorHAnsi" w:hAnsiTheme="minorHAnsi" w:cstheme="minorHAnsi"/>
          <w:b/>
          <w:sz w:val="20"/>
          <w:szCs w:val="20"/>
        </w:rPr>
        <w:t xml:space="preserve"> dni.</w:t>
      </w:r>
    </w:p>
    <w:p w:rsidR="00D47206" w:rsidRPr="008D12B3" w:rsidRDefault="00D47206" w:rsidP="00D47206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12B3">
        <w:rPr>
          <w:rFonts w:asciiTheme="minorHAnsi" w:hAnsiTheme="minorHAnsi" w:cstheme="minorHAnsi"/>
          <w:b/>
          <w:bCs/>
          <w:sz w:val="20"/>
          <w:szCs w:val="20"/>
        </w:rPr>
        <w:t>Inne uwagi:</w:t>
      </w:r>
    </w:p>
    <w:p w:rsidR="003461E6" w:rsidRDefault="00D61A70" w:rsidP="00D62882">
      <w:pPr>
        <w:pStyle w:val="Zwykytekst"/>
        <w:numPr>
          <w:ilvl w:val="6"/>
          <w:numId w:val="3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12B3">
        <w:rPr>
          <w:rFonts w:asciiTheme="minorHAnsi" w:hAnsiTheme="minorHAnsi" w:cstheme="minorHAnsi"/>
          <w:bCs/>
          <w:sz w:val="20"/>
          <w:szCs w:val="20"/>
        </w:rPr>
        <w:t>Ostateczne terminy</w:t>
      </w:r>
      <w:r w:rsidR="00406B87" w:rsidRPr="008D12B3">
        <w:rPr>
          <w:rFonts w:asciiTheme="minorHAnsi" w:hAnsiTheme="minorHAnsi" w:cstheme="minorHAnsi"/>
          <w:bCs/>
          <w:sz w:val="20"/>
          <w:szCs w:val="20"/>
        </w:rPr>
        <w:t xml:space="preserve"> dostaw</w:t>
      </w:r>
      <w:r w:rsidRPr="008D12B3">
        <w:rPr>
          <w:rFonts w:asciiTheme="minorHAnsi" w:hAnsiTheme="minorHAnsi" w:cstheme="minorHAnsi"/>
          <w:bCs/>
          <w:sz w:val="20"/>
          <w:szCs w:val="20"/>
        </w:rPr>
        <w:t xml:space="preserve"> uzależnione są od szybkości rekrutacji i ustalone zostaną z Zamawiającym w trakcie realizacji badania</w:t>
      </w:r>
      <w:r w:rsidR="002E4084" w:rsidRPr="008D12B3">
        <w:rPr>
          <w:rFonts w:asciiTheme="minorHAnsi" w:hAnsiTheme="minorHAnsi" w:cstheme="minorHAnsi"/>
          <w:bCs/>
          <w:sz w:val="20"/>
          <w:szCs w:val="20"/>
        </w:rPr>
        <w:t xml:space="preserve"> drogą e-mailową</w:t>
      </w:r>
      <w:r w:rsidR="002510BE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na adres email: </w:t>
      </w:r>
      <w:hyperlink r:id="rId12" w:history="1">
        <w:r w:rsidR="002510BE" w:rsidRPr="00AF7DC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magdalena.jaskolska@gumed.edu.pl</w:t>
        </w:r>
      </w:hyperlink>
      <w:r w:rsidR="002510BE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7F671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                                                               </w:t>
      </w:r>
      <w:r w:rsidR="002510BE"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>or</w:t>
      </w:r>
      <w:r w:rsidR="002510B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az </w:t>
      </w:r>
      <w:hyperlink r:id="rId13" w:history="1">
        <w:r w:rsidR="002510BE" w:rsidRPr="00424BB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joanna.gaffke@gumed.edu.pl</w:t>
        </w:r>
      </w:hyperlink>
    </w:p>
    <w:p w:rsidR="00D62882" w:rsidRPr="008D12B3" w:rsidRDefault="00D62882" w:rsidP="00D62882">
      <w:pPr>
        <w:pStyle w:val="Zwykytekst"/>
        <w:numPr>
          <w:ilvl w:val="6"/>
          <w:numId w:val="3"/>
        </w:numPr>
        <w:spacing w:after="120" w:line="360" w:lineRule="auto"/>
        <w:ind w:left="142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Wynagrodzenie będzie płatne po każdej dostawie badanego produktu leczniczego zawierającego substancję aktywną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nintedanib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. Wynagrodzenie wypłacane będzie na podstawie faktury wystawionej przez Wykonawcę po zrealizowaniu bieżącego zamówienia oraz dostarczeniu Sponsorowi dokumentów związanych z dostawą produktu leczniczego do Ośrodka. </w:t>
      </w:r>
    </w:p>
    <w:p w:rsidR="00065690" w:rsidRPr="008D12B3" w:rsidRDefault="0004544E" w:rsidP="008D12B3">
      <w:pPr>
        <w:pStyle w:val="Zwykytekst"/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12B3">
        <w:rPr>
          <w:rFonts w:asciiTheme="minorHAnsi" w:hAnsiTheme="minorHAnsi" w:cstheme="minorHAnsi"/>
          <w:bCs/>
          <w:sz w:val="20"/>
          <w:szCs w:val="20"/>
        </w:rPr>
        <w:t>3</w:t>
      </w:r>
      <w:r w:rsidR="00065690" w:rsidRPr="008D12B3">
        <w:rPr>
          <w:rFonts w:asciiTheme="minorHAnsi" w:hAnsiTheme="minorHAnsi" w:cstheme="minorHAnsi"/>
          <w:bCs/>
          <w:sz w:val="20"/>
          <w:szCs w:val="20"/>
        </w:rPr>
        <w:t xml:space="preserve">. Wykonawca zobowiązany jest do współpracy ze Sponsorem Niekomercyjnego Badania Klinicznego w </w:t>
      </w:r>
      <w:r w:rsidR="00B813D5" w:rsidRPr="008D12B3">
        <w:rPr>
          <w:rFonts w:asciiTheme="minorHAnsi" w:hAnsiTheme="minorHAnsi" w:cstheme="minorHAnsi"/>
          <w:bCs/>
          <w:sz w:val="20"/>
          <w:szCs w:val="20"/>
        </w:rPr>
        <w:t xml:space="preserve">zakresie </w:t>
      </w:r>
      <w:r w:rsidR="009054DF" w:rsidRPr="008D12B3">
        <w:rPr>
          <w:rFonts w:asciiTheme="minorHAnsi" w:hAnsiTheme="minorHAnsi" w:cstheme="minorHAnsi"/>
          <w:bCs/>
          <w:sz w:val="20"/>
          <w:szCs w:val="20"/>
        </w:rPr>
        <w:t>udzielani</w:t>
      </w:r>
      <w:r w:rsidR="00C80EC2" w:rsidRPr="008D12B3">
        <w:rPr>
          <w:rFonts w:asciiTheme="minorHAnsi" w:hAnsiTheme="minorHAnsi" w:cstheme="minorHAnsi"/>
          <w:bCs/>
          <w:sz w:val="20"/>
          <w:szCs w:val="20"/>
        </w:rPr>
        <w:t>a</w:t>
      </w:r>
      <w:r w:rsidR="009054DF" w:rsidRPr="008D12B3">
        <w:rPr>
          <w:rFonts w:asciiTheme="minorHAnsi" w:hAnsiTheme="minorHAnsi" w:cstheme="minorHAnsi"/>
          <w:bCs/>
          <w:sz w:val="20"/>
          <w:szCs w:val="20"/>
        </w:rPr>
        <w:t xml:space="preserve"> odpowiedzi na pytania URPL i KB dot. </w:t>
      </w:r>
      <w:r w:rsidR="00C80EC2" w:rsidRPr="008D12B3">
        <w:rPr>
          <w:rFonts w:asciiTheme="minorHAnsi" w:hAnsiTheme="minorHAnsi" w:cstheme="minorHAnsi"/>
          <w:bCs/>
          <w:sz w:val="20"/>
          <w:szCs w:val="20"/>
        </w:rPr>
        <w:t>Badania klinicznego w zakresie zamawianego Produktu Leczniczego</w:t>
      </w:r>
      <w:r w:rsidR="009054DF" w:rsidRPr="008D12B3">
        <w:rPr>
          <w:rFonts w:asciiTheme="minorHAnsi" w:hAnsiTheme="minorHAnsi" w:cstheme="minorHAnsi"/>
          <w:bCs/>
          <w:sz w:val="20"/>
          <w:szCs w:val="20"/>
        </w:rPr>
        <w:t>.</w:t>
      </w:r>
    </w:p>
    <w:p w:rsidR="009054DF" w:rsidRPr="008D12B3" w:rsidRDefault="0004544E" w:rsidP="008D12B3">
      <w:pPr>
        <w:pStyle w:val="Zwykytekst"/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D12B3">
        <w:rPr>
          <w:rFonts w:asciiTheme="minorHAnsi" w:hAnsiTheme="minorHAnsi" w:cstheme="minorHAnsi"/>
          <w:bCs/>
          <w:sz w:val="20"/>
          <w:szCs w:val="20"/>
        </w:rPr>
        <w:t>4</w:t>
      </w:r>
      <w:r w:rsidR="009054DF" w:rsidRPr="008D12B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EA186E" w:rsidRPr="008D12B3">
        <w:rPr>
          <w:rFonts w:asciiTheme="minorHAnsi" w:hAnsiTheme="minorHAnsi" w:cstheme="minorHAnsi"/>
          <w:bCs/>
          <w:sz w:val="20"/>
          <w:szCs w:val="20"/>
        </w:rPr>
        <w:t xml:space="preserve">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="00EA186E" w:rsidRPr="008D12B3">
        <w:rPr>
          <w:rFonts w:asciiTheme="minorHAnsi" w:hAnsiTheme="minorHAnsi" w:cstheme="minorHAnsi"/>
          <w:bCs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="00EA186E" w:rsidRPr="008D12B3">
        <w:rPr>
          <w:rFonts w:asciiTheme="minorHAnsi" w:hAnsiTheme="minorHAnsi" w:cstheme="minorHAnsi"/>
          <w:bCs/>
          <w:sz w:val="20"/>
          <w:szCs w:val="20"/>
          <w:lang w:val="en-US"/>
        </w:rPr>
        <w:t>oraz</w:t>
      </w:r>
      <w:proofErr w:type="spellEnd"/>
      <w:r w:rsidR="00EA186E" w:rsidRPr="008D12B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EA186E" w:rsidRPr="008D12B3">
        <w:rPr>
          <w:rFonts w:asciiTheme="minorHAnsi" w:hAnsiTheme="minorHAnsi" w:cstheme="minorHAnsi"/>
          <w:bCs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="00EA186E" w:rsidRPr="008D12B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:rsidR="00D62882" w:rsidRPr="007F6715" w:rsidRDefault="0004544E" w:rsidP="007F671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D62882" w:rsidRPr="007F6715" w:rsidSect="0051337D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6" w:h="16838"/>
          <w:pgMar w:top="1135" w:right="1133" w:bottom="993" w:left="1276" w:header="680" w:footer="1122" w:gutter="0"/>
          <w:cols w:space="708"/>
          <w:docGrid w:linePitch="360"/>
        </w:sectPr>
      </w:pPr>
      <w:r w:rsidRPr="008D12B3">
        <w:rPr>
          <w:rFonts w:asciiTheme="minorHAnsi" w:hAnsiTheme="minorHAnsi" w:cstheme="minorHAnsi"/>
          <w:sz w:val="20"/>
          <w:szCs w:val="20"/>
        </w:rPr>
        <w:t>5</w:t>
      </w:r>
      <w:r w:rsidR="00EA186E" w:rsidRPr="008D12B3">
        <w:rPr>
          <w:rFonts w:asciiTheme="minorHAnsi" w:hAnsiTheme="minorHAnsi" w:cstheme="minorHAnsi"/>
          <w:sz w:val="20"/>
          <w:szCs w:val="20"/>
        </w:rPr>
        <w:t xml:space="preserve">. </w:t>
      </w:r>
      <w:r w:rsidR="00F973BA" w:rsidRPr="008D12B3">
        <w:rPr>
          <w:rFonts w:asciiTheme="minorHAnsi" w:hAnsiTheme="minorHAnsi" w:cstheme="minorHAnsi"/>
          <w:sz w:val="20"/>
          <w:szCs w:val="20"/>
        </w:rPr>
        <w:t>Badany produkt leczniczy musi być dopuszczony do obrotu gospodarczego na terenie RP; dopuszcza się pozyskanie produktów referencyjnych przeznaczonych do użycia w niekomercyjnym badaniu klinicznych z rynków UE. W takiej sytuacji, wykonawca zobowiązany jest do przygotowania dokumentacji wymaganej przepisami prawa umożliwiającej wy</w:t>
      </w:r>
      <w:r w:rsidR="008D12B3">
        <w:rPr>
          <w:rFonts w:asciiTheme="minorHAnsi" w:hAnsiTheme="minorHAnsi" w:cstheme="minorHAnsi"/>
          <w:sz w:val="20"/>
          <w:szCs w:val="20"/>
        </w:rPr>
        <w:t>k</w:t>
      </w:r>
      <w:r w:rsidR="00F973BA" w:rsidRPr="008D12B3">
        <w:rPr>
          <w:rFonts w:asciiTheme="minorHAnsi" w:hAnsiTheme="minorHAnsi" w:cstheme="minorHAnsi"/>
          <w:sz w:val="20"/>
          <w:szCs w:val="20"/>
        </w:rPr>
        <w:t>orzystanie produktu referencyjnego jako Badanego Produktu Leczniczego w Niekomercyjnym Badaniu Klinicz</w:t>
      </w:r>
      <w:r w:rsidR="006D16F2" w:rsidRPr="008D12B3">
        <w:rPr>
          <w:rFonts w:asciiTheme="minorHAnsi" w:hAnsiTheme="minorHAnsi" w:cstheme="minorHAnsi"/>
          <w:sz w:val="20"/>
          <w:szCs w:val="20"/>
        </w:rPr>
        <w:t>n</w:t>
      </w:r>
      <w:r w:rsidR="00D62882">
        <w:rPr>
          <w:rFonts w:asciiTheme="minorHAnsi" w:hAnsiTheme="minorHAnsi" w:cstheme="minorHAnsi"/>
          <w:sz w:val="20"/>
          <w:szCs w:val="20"/>
        </w:rPr>
        <w:t>y</w:t>
      </w:r>
    </w:p>
    <w:p w:rsidR="00277969" w:rsidRPr="00277969" w:rsidRDefault="00277969" w:rsidP="00F973BA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</w:p>
    <w:sectPr w:rsidR="00277969" w:rsidRPr="00277969" w:rsidSect="008D12B3">
      <w:endnotePr>
        <w:numFmt w:val="decimal"/>
      </w:endnotePr>
      <w:pgSz w:w="11906" w:h="16838"/>
      <w:pgMar w:top="1135" w:right="1133" w:bottom="3969" w:left="1276" w:header="680" w:footer="112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F394" w16cex:dateUtc="2022-02-10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7F" w:rsidRDefault="0001737F" w:rsidP="00DD236D">
      <w:pPr>
        <w:spacing w:after="0" w:line="240" w:lineRule="auto"/>
      </w:pPr>
      <w:r>
        <w:separator/>
      </w:r>
    </w:p>
  </w:endnote>
  <w:endnote w:type="continuationSeparator" w:id="0">
    <w:p w:rsidR="0001737F" w:rsidRDefault="0001737F" w:rsidP="00D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092480"/>
      <w:docPartObj>
        <w:docPartGallery w:val="Page Numbers (Bottom of Page)"/>
        <w:docPartUnique/>
      </w:docPartObj>
    </w:sdtPr>
    <w:sdtEndPr/>
    <w:sdtContent>
      <w:p w:rsidR="00AA6A85" w:rsidRDefault="00AA6A85" w:rsidP="00F243D0">
        <w:pPr>
          <w:pStyle w:val="Stopka"/>
        </w:pPr>
        <w:r w:rsidRPr="0051337D">
          <w:rPr>
            <w:rFonts w:ascii="Arial" w:hAnsi="Arial" w:cs="Arial"/>
            <w:sz w:val="16"/>
            <w:szCs w:val="16"/>
          </w:rPr>
          <w:t xml:space="preserve">Strona | </w:t>
        </w:r>
        <w:r w:rsidRPr="0051337D">
          <w:rPr>
            <w:rFonts w:ascii="Arial" w:hAnsi="Arial" w:cs="Arial"/>
            <w:sz w:val="16"/>
            <w:szCs w:val="16"/>
          </w:rPr>
          <w:fldChar w:fldCharType="begin"/>
        </w:r>
        <w:r w:rsidRPr="0051337D">
          <w:rPr>
            <w:rFonts w:ascii="Arial" w:hAnsi="Arial" w:cs="Arial"/>
            <w:sz w:val="16"/>
            <w:szCs w:val="16"/>
          </w:rPr>
          <w:instrText>PAGE   \* MERGEFORMAT</w:instrText>
        </w:r>
        <w:r w:rsidRPr="0051337D">
          <w:rPr>
            <w:rFonts w:ascii="Arial" w:hAnsi="Arial" w:cs="Arial"/>
            <w:sz w:val="16"/>
            <w:szCs w:val="16"/>
          </w:rPr>
          <w:fldChar w:fldCharType="separate"/>
        </w:r>
        <w:r w:rsidR="008941AC">
          <w:rPr>
            <w:rFonts w:ascii="Arial" w:hAnsi="Arial" w:cs="Arial"/>
            <w:noProof/>
            <w:sz w:val="16"/>
            <w:szCs w:val="16"/>
          </w:rPr>
          <w:t>3</w:t>
        </w:r>
        <w:r w:rsidRPr="0051337D">
          <w:rPr>
            <w:rFonts w:ascii="Arial" w:hAnsi="Arial" w:cs="Arial"/>
            <w:sz w:val="16"/>
            <w:szCs w:val="16"/>
          </w:rPr>
          <w:fldChar w:fldCharType="end"/>
        </w:r>
        <w:r>
          <w:t xml:space="preserve"> </w:t>
        </w:r>
      </w:p>
    </w:sdtContent>
  </w:sdt>
  <w:p w:rsidR="00AA6A85" w:rsidRDefault="00AA6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7F" w:rsidRDefault="0001737F" w:rsidP="00DD236D">
      <w:pPr>
        <w:spacing w:after="0" w:line="240" w:lineRule="auto"/>
      </w:pPr>
      <w:r>
        <w:separator/>
      </w:r>
    </w:p>
  </w:footnote>
  <w:footnote w:type="continuationSeparator" w:id="0">
    <w:p w:rsidR="0001737F" w:rsidRDefault="0001737F" w:rsidP="00DD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8" w:rsidRDefault="00F83E71" w:rsidP="00F83E71">
    <w:pPr>
      <w:pStyle w:val="Nagwek"/>
      <w:tabs>
        <w:tab w:val="right" w:pos="9497"/>
      </w:tabs>
    </w:pPr>
    <w:r w:rsidRPr="003D42DC">
      <w:rPr>
        <w:noProof/>
      </w:rPr>
      <w:drawing>
        <wp:inline distT="0" distB="0" distL="0" distR="0" wp14:anchorId="6BCBE4F0" wp14:editId="081AADDF">
          <wp:extent cx="1666875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549E8" w:rsidRPr="003D42DC">
      <w:rPr>
        <w:noProof/>
      </w:rPr>
      <w:drawing>
        <wp:inline distT="0" distB="0" distL="0" distR="0" wp14:anchorId="222A0E23" wp14:editId="426D0FE9">
          <wp:extent cx="1609725" cy="876300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68EE0BE"/>
    <w:lvl w:ilvl="0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Theme="minorHAnsi" w:eastAsiaTheme="minorHAnsi" w:hAnsiTheme="minorHAnsi" w:cstheme="minorHAnsi" w:hint="default"/>
        <w:b w:val="0"/>
      </w:r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1" w15:restartNumberingAfterBreak="0">
    <w:nsid w:val="00000003"/>
    <w:multiLevelType w:val="multilevel"/>
    <w:tmpl w:val="40B830EA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0" w:hanging="180"/>
      </w:pPr>
      <w:rPr>
        <w:rFonts w:hint="default"/>
      </w:rPr>
    </w:lvl>
  </w:abstractNum>
  <w:abstractNum w:abstractNumId="2" w15:restartNumberingAfterBreak="0">
    <w:nsid w:val="067A248B"/>
    <w:multiLevelType w:val="hybridMultilevel"/>
    <w:tmpl w:val="4F34D5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0E9775B"/>
    <w:multiLevelType w:val="hybridMultilevel"/>
    <w:tmpl w:val="74961052"/>
    <w:lvl w:ilvl="0" w:tplc="04150017">
      <w:start w:val="1"/>
      <w:numFmt w:val="lowerLetter"/>
      <w:lvlText w:val="%1)"/>
      <w:lvlJc w:val="left"/>
      <w:pPr>
        <w:ind w:left="1375" w:hanging="360"/>
      </w:p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" w15:restartNumberingAfterBreak="0">
    <w:nsid w:val="164208E0"/>
    <w:multiLevelType w:val="hybridMultilevel"/>
    <w:tmpl w:val="9E4C3D6A"/>
    <w:lvl w:ilvl="0" w:tplc="0415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" w15:restartNumberingAfterBreak="0">
    <w:nsid w:val="18EF32EC"/>
    <w:multiLevelType w:val="hybridMultilevel"/>
    <w:tmpl w:val="5A3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798"/>
    <w:multiLevelType w:val="multilevel"/>
    <w:tmpl w:val="6046E3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87953"/>
    <w:multiLevelType w:val="hybridMultilevel"/>
    <w:tmpl w:val="6038DD0C"/>
    <w:lvl w:ilvl="0" w:tplc="A45AA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EE7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C71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F42D21"/>
    <w:multiLevelType w:val="hybridMultilevel"/>
    <w:tmpl w:val="18E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1FB3"/>
    <w:multiLevelType w:val="hybridMultilevel"/>
    <w:tmpl w:val="5804F642"/>
    <w:lvl w:ilvl="0" w:tplc="04150017">
      <w:start w:val="1"/>
      <w:numFmt w:val="lowerLetter"/>
      <w:lvlText w:val="%1)"/>
      <w:lvlJc w:val="left"/>
      <w:pPr>
        <w:ind w:left="1735" w:hanging="360"/>
      </w:p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2" w15:restartNumberingAfterBreak="0">
    <w:nsid w:val="68AD029E"/>
    <w:multiLevelType w:val="hybridMultilevel"/>
    <w:tmpl w:val="0EFE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C53E5"/>
    <w:multiLevelType w:val="hybridMultilevel"/>
    <w:tmpl w:val="8C74C438"/>
    <w:lvl w:ilvl="0" w:tplc="3FFAE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4229"/>
    <w:multiLevelType w:val="hybridMultilevel"/>
    <w:tmpl w:val="B2B090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1E79"/>
    <w:multiLevelType w:val="hybridMultilevel"/>
    <w:tmpl w:val="6D7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3181"/>
    <w:multiLevelType w:val="hybridMultilevel"/>
    <w:tmpl w:val="C844925E"/>
    <w:lvl w:ilvl="0" w:tplc="89A63DD0">
      <w:start w:val="2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79DC32BD"/>
    <w:multiLevelType w:val="hybridMultilevel"/>
    <w:tmpl w:val="983840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7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3"/>
  </w:num>
  <w:num w:numId="16">
    <w:abstractNumId w:val="11"/>
  </w:num>
  <w:num w:numId="17">
    <w:abstractNumId w:val="4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C"/>
    <w:rsid w:val="0000444C"/>
    <w:rsid w:val="00007B8C"/>
    <w:rsid w:val="00012AE9"/>
    <w:rsid w:val="00012DCD"/>
    <w:rsid w:val="000138A9"/>
    <w:rsid w:val="000139E8"/>
    <w:rsid w:val="00014A04"/>
    <w:rsid w:val="0001737F"/>
    <w:rsid w:val="00020751"/>
    <w:rsid w:val="00026485"/>
    <w:rsid w:val="00026C48"/>
    <w:rsid w:val="0003291F"/>
    <w:rsid w:val="00036A31"/>
    <w:rsid w:val="0003722F"/>
    <w:rsid w:val="000375BF"/>
    <w:rsid w:val="00037F3F"/>
    <w:rsid w:val="00040281"/>
    <w:rsid w:val="0004328A"/>
    <w:rsid w:val="0004544E"/>
    <w:rsid w:val="00045A8D"/>
    <w:rsid w:val="00047AE5"/>
    <w:rsid w:val="00051B9C"/>
    <w:rsid w:val="00052517"/>
    <w:rsid w:val="00065690"/>
    <w:rsid w:val="000668F7"/>
    <w:rsid w:val="000672AD"/>
    <w:rsid w:val="00071478"/>
    <w:rsid w:val="000746D8"/>
    <w:rsid w:val="00074D3C"/>
    <w:rsid w:val="00083234"/>
    <w:rsid w:val="00087A35"/>
    <w:rsid w:val="00092EFD"/>
    <w:rsid w:val="000936C7"/>
    <w:rsid w:val="0009514F"/>
    <w:rsid w:val="000965BC"/>
    <w:rsid w:val="000A0018"/>
    <w:rsid w:val="000B1FB7"/>
    <w:rsid w:val="000B31D0"/>
    <w:rsid w:val="000B4D31"/>
    <w:rsid w:val="000B4D5D"/>
    <w:rsid w:val="000C21A7"/>
    <w:rsid w:val="000C3D0B"/>
    <w:rsid w:val="000C7707"/>
    <w:rsid w:val="000D0E34"/>
    <w:rsid w:val="000D2736"/>
    <w:rsid w:val="000D3499"/>
    <w:rsid w:val="000D3FF3"/>
    <w:rsid w:val="000D646A"/>
    <w:rsid w:val="000E1993"/>
    <w:rsid w:val="000E2F44"/>
    <w:rsid w:val="000E70C3"/>
    <w:rsid w:val="000F53FF"/>
    <w:rsid w:val="000F67FF"/>
    <w:rsid w:val="00101ED7"/>
    <w:rsid w:val="00103242"/>
    <w:rsid w:val="0010358C"/>
    <w:rsid w:val="00103692"/>
    <w:rsid w:val="00107527"/>
    <w:rsid w:val="00107CED"/>
    <w:rsid w:val="00110B42"/>
    <w:rsid w:val="00111177"/>
    <w:rsid w:val="001248BB"/>
    <w:rsid w:val="00126D71"/>
    <w:rsid w:val="00136477"/>
    <w:rsid w:val="0014046A"/>
    <w:rsid w:val="00140FEB"/>
    <w:rsid w:val="00142F72"/>
    <w:rsid w:val="00143181"/>
    <w:rsid w:val="00145D41"/>
    <w:rsid w:val="00145F45"/>
    <w:rsid w:val="00157548"/>
    <w:rsid w:val="0016282A"/>
    <w:rsid w:val="00162AEE"/>
    <w:rsid w:val="00171C59"/>
    <w:rsid w:val="00172B4C"/>
    <w:rsid w:val="00175053"/>
    <w:rsid w:val="00176369"/>
    <w:rsid w:val="00176517"/>
    <w:rsid w:val="00176E7E"/>
    <w:rsid w:val="001777C8"/>
    <w:rsid w:val="00180709"/>
    <w:rsid w:val="001841A4"/>
    <w:rsid w:val="00185A3D"/>
    <w:rsid w:val="00192D6D"/>
    <w:rsid w:val="00193702"/>
    <w:rsid w:val="001947BA"/>
    <w:rsid w:val="001A127F"/>
    <w:rsid w:val="001A1B3E"/>
    <w:rsid w:val="001A246D"/>
    <w:rsid w:val="001A4F0E"/>
    <w:rsid w:val="001B0B89"/>
    <w:rsid w:val="001B2520"/>
    <w:rsid w:val="001B6680"/>
    <w:rsid w:val="001C1E4F"/>
    <w:rsid w:val="001C25DA"/>
    <w:rsid w:val="001C3F2E"/>
    <w:rsid w:val="001C4745"/>
    <w:rsid w:val="001D7076"/>
    <w:rsid w:val="001E0608"/>
    <w:rsid w:val="001E4F2D"/>
    <w:rsid w:val="001E66B6"/>
    <w:rsid w:val="001E6DBA"/>
    <w:rsid w:val="001F14C3"/>
    <w:rsid w:val="001F3E5C"/>
    <w:rsid w:val="00201BC4"/>
    <w:rsid w:val="0020449A"/>
    <w:rsid w:val="00204A2C"/>
    <w:rsid w:val="002100C4"/>
    <w:rsid w:val="002107F4"/>
    <w:rsid w:val="00224092"/>
    <w:rsid w:val="00227FD2"/>
    <w:rsid w:val="0023339A"/>
    <w:rsid w:val="00236105"/>
    <w:rsid w:val="00236689"/>
    <w:rsid w:val="00242C79"/>
    <w:rsid w:val="00247750"/>
    <w:rsid w:val="00247A4B"/>
    <w:rsid w:val="002510BE"/>
    <w:rsid w:val="00261197"/>
    <w:rsid w:val="00263D2F"/>
    <w:rsid w:val="00264A71"/>
    <w:rsid w:val="00265F64"/>
    <w:rsid w:val="0027439E"/>
    <w:rsid w:val="0027623D"/>
    <w:rsid w:val="00277969"/>
    <w:rsid w:val="0028124E"/>
    <w:rsid w:val="00281C00"/>
    <w:rsid w:val="0028309C"/>
    <w:rsid w:val="00283ED2"/>
    <w:rsid w:val="00297B14"/>
    <w:rsid w:val="002A198E"/>
    <w:rsid w:val="002A2AA5"/>
    <w:rsid w:val="002A2F21"/>
    <w:rsid w:val="002A61C5"/>
    <w:rsid w:val="002A6EED"/>
    <w:rsid w:val="002A7603"/>
    <w:rsid w:val="002B4AD6"/>
    <w:rsid w:val="002B6067"/>
    <w:rsid w:val="002C256B"/>
    <w:rsid w:val="002C2931"/>
    <w:rsid w:val="002C3D31"/>
    <w:rsid w:val="002C4355"/>
    <w:rsid w:val="002C54E2"/>
    <w:rsid w:val="002C5A62"/>
    <w:rsid w:val="002C60C1"/>
    <w:rsid w:val="002C65CE"/>
    <w:rsid w:val="002D1706"/>
    <w:rsid w:val="002D1A24"/>
    <w:rsid w:val="002D288D"/>
    <w:rsid w:val="002D3020"/>
    <w:rsid w:val="002D509C"/>
    <w:rsid w:val="002E25A4"/>
    <w:rsid w:val="002E4020"/>
    <w:rsid w:val="002E4084"/>
    <w:rsid w:val="002E57CE"/>
    <w:rsid w:val="002E674E"/>
    <w:rsid w:val="002E7BF2"/>
    <w:rsid w:val="002F0A86"/>
    <w:rsid w:val="00307A51"/>
    <w:rsid w:val="0031529D"/>
    <w:rsid w:val="003261CE"/>
    <w:rsid w:val="00330A64"/>
    <w:rsid w:val="00330D1E"/>
    <w:rsid w:val="00332528"/>
    <w:rsid w:val="00334736"/>
    <w:rsid w:val="00341CA6"/>
    <w:rsid w:val="003461E6"/>
    <w:rsid w:val="00347854"/>
    <w:rsid w:val="003503FD"/>
    <w:rsid w:val="00351B2A"/>
    <w:rsid w:val="003534F0"/>
    <w:rsid w:val="003549E8"/>
    <w:rsid w:val="00355EEA"/>
    <w:rsid w:val="00356E4E"/>
    <w:rsid w:val="00366307"/>
    <w:rsid w:val="003700AB"/>
    <w:rsid w:val="00375F3C"/>
    <w:rsid w:val="00380581"/>
    <w:rsid w:val="00382085"/>
    <w:rsid w:val="00382678"/>
    <w:rsid w:val="003864AC"/>
    <w:rsid w:val="0038703B"/>
    <w:rsid w:val="003923A3"/>
    <w:rsid w:val="003A138B"/>
    <w:rsid w:val="003B0351"/>
    <w:rsid w:val="003B34C4"/>
    <w:rsid w:val="003B5B08"/>
    <w:rsid w:val="003C030D"/>
    <w:rsid w:val="003C0FB6"/>
    <w:rsid w:val="003C5241"/>
    <w:rsid w:val="003D1386"/>
    <w:rsid w:val="003D2D56"/>
    <w:rsid w:val="003E0D5A"/>
    <w:rsid w:val="003E1B59"/>
    <w:rsid w:val="003E33D4"/>
    <w:rsid w:val="003E4ED3"/>
    <w:rsid w:val="003E592C"/>
    <w:rsid w:val="003F5673"/>
    <w:rsid w:val="003F57F9"/>
    <w:rsid w:val="003F5E95"/>
    <w:rsid w:val="004037FB"/>
    <w:rsid w:val="00406B87"/>
    <w:rsid w:val="004109D5"/>
    <w:rsid w:val="004179CC"/>
    <w:rsid w:val="00417EB6"/>
    <w:rsid w:val="0042040D"/>
    <w:rsid w:val="00422260"/>
    <w:rsid w:val="004228E7"/>
    <w:rsid w:val="00424BB3"/>
    <w:rsid w:val="00432CBC"/>
    <w:rsid w:val="0043411A"/>
    <w:rsid w:val="00436779"/>
    <w:rsid w:val="00442595"/>
    <w:rsid w:val="00442CBB"/>
    <w:rsid w:val="004430EA"/>
    <w:rsid w:val="00443BD4"/>
    <w:rsid w:val="00445E03"/>
    <w:rsid w:val="00455C19"/>
    <w:rsid w:val="00460DD6"/>
    <w:rsid w:val="00462844"/>
    <w:rsid w:val="00462E7B"/>
    <w:rsid w:val="0046328E"/>
    <w:rsid w:val="00463606"/>
    <w:rsid w:val="00465E5F"/>
    <w:rsid w:val="00470974"/>
    <w:rsid w:val="004751D4"/>
    <w:rsid w:val="004761D8"/>
    <w:rsid w:val="0047671A"/>
    <w:rsid w:val="00476934"/>
    <w:rsid w:val="004903C7"/>
    <w:rsid w:val="00491CEC"/>
    <w:rsid w:val="00497F82"/>
    <w:rsid w:val="004A1504"/>
    <w:rsid w:val="004A4DFB"/>
    <w:rsid w:val="004B490B"/>
    <w:rsid w:val="004C221F"/>
    <w:rsid w:val="004D1353"/>
    <w:rsid w:val="004D1634"/>
    <w:rsid w:val="004D242C"/>
    <w:rsid w:val="004D48FE"/>
    <w:rsid w:val="004E0BE1"/>
    <w:rsid w:val="004E3C83"/>
    <w:rsid w:val="004E4562"/>
    <w:rsid w:val="004E5047"/>
    <w:rsid w:val="004E67E4"/>
    <w:rsid w:val="004F378A"/>
    <w:rsid w:val="00503596"/>
    <w:rsid w:val="00505344"/>
    <w:rsid w:val="005059AD"/>
    <w:rsid w:val="00507096"/>
    <w:rsid w:val="0051018B"/>
    <w:rsid w:val="0051337D"/>
    <w:rsid w:val="00515F4A"/>
    <w:rsid w:val="00515FC3"/>
    <w:rsid w:val="00520710"/>
    <w:rsid w:val="00520A9A"/>
    <w:rsid w:val="00525222"/>
    <w:rsid w:val="0052767B"/>
    <w:rsid w:val="00530C22"/>
    <w:rsid w:val="005349CC"/>
    <w:rsid w:val="005428C8"/>
    <w:rsid w:val="00552031"/>
    <w:rsid w:val="0055754A"/>
    <w:rsid w:val="005626B5"/>
    <w:rsid w:val="00562F65"/>
    <w:rsid w:val="00563B93"/>
    <w:rsid w:val="005650F6"/>
    <w:rsid w:val="0056747D"/>
    <w:rsid w:val="00572D80"/>
    <w:rsid w:val="0057483A"/>
    <w:rsid w:val="005804A5"/>
    <w:rsid w:val="0058069F"/>
    <w:rsid w:val="0058446D"/>
    <w:rsid w:val="0058551A"/>
    <w:rsid w:val="00587CEE"/>
    <w:rsid w:val="00596D01"/>
    <w:rsid w:val="00597733"/>
    <w:rsid w:val="00597DD4"/>
    <w:rsid w:val="005A0953"/>
    <w:rsid w:val="005A103A"/>
    <w:rsid w:val="005A17C5"/>
    <w:rsid w:val="005B002D"/>
    <w:rsid w:val="005B75DF"/>
    <w:rsid w:val="005B7B8A"/>
    <w:rsid w:val="005C1573"/>
    <w:rsid w:val="005C1DBC"/>
    <w:rsid w:val="005C36B5"/>
    <w:rsid w:val="005C4FAB"/>
    <w:rsid w:val="005C6097"/>
    <w:rsid w:val="005E5DE8"/>
    <w:rsid w:val="005F38E3"/>
    <w:rsid w:val="005F4511"/>
    <w:rsid w:val="005F4D2F"/>
    <w:rsid w:val="005F5364"/>
    <w:rsid w:val="006037D0"/>
    <w:rsid w:val="00604A85"/>
    <w:rsid w:val="00606EAC"/>
    <w:rsid w:val="00610E29"/>
    <w:rsid w:val="006115A7"/>
    <w:rsid w:val="00613CC6"/>
    <w:rsid w:val="00616CD3"/>
    <w:rsid w:val="00621444"/>
    <w:rsid w:val="00622841"/>
    <w:rsid w:val="00624292"/>
    <w:rsid w:val="00625B6E"/>
    <w:rsid w:val="00627C7A"/>
    <w:rsid w:val="006308B3"/>
    <w:rsid w:val="00633CFE"/>
    <w:rsid w:val="00635F5C"/>
    <w:rsid w:val="00637082"/>
    <w:rsid w:val="00637627"/>
    <w:rsid w:val="00640443"/>
    <w:rsid w:val="00640EB8"/>
    <w:rsid w:val="00644C14"/>
    <w:rsid w:val="00653A82"/>
    <w:rsid w:val="006547C2"/>
    <w:rsid w:val="00655D1E"/>
    <w:rsid w:val="00655D60"/>
    <w:rsid w:val="00661A77"/>
    <w:rsid w:val="00680386"/>
    <w:rsid w:val="00680AC4"/>
    <w:rsid w:val="006818F1"/>
    <w:rsid w:val="00682158"/>
    <w:rsid w:val="006862D3"/>
    <w:rsid w:val="00690282"/>
    <w:rsid w:val="006A5B4F"/>
    <w:rsid w:val="006B4148"/>
    <w:rsid w:val="006B4EEE"/>
    <w:rsid w:val="006B5417"/>
    <w:rsid w:val="006C6187"/>
    <w:rsid w:val="006D0A35"/>
    <w:rsid w:val="006D0A38"/>
    <w:rsid w:val="006D125A"/>
    <w:rsid w:val="006D16F2"/>
    <w:rsid w:val="006D2A8D"/>
    <w:rsid w:val="006D4C6C"/>
    <w:rsid w:val="006D517A"/>
    <w:rsid w:val="006E0994"/>
    <w:rsid w:val="006E09A2"/>
    <w:rsid w:val="006E255C"/>
    <w:rsid w:val="006E2FAD"/>
    <w:rsid w:val="006E3276"/>
    <w:rsid w:val="006E46A7"/>
    <w:rsid w:val="006E4D6F"/>
    <w:rsid w:val="006E616E"/>
    <w:rsid w:val="006E6879"/>
    <w:rsid w:val="006F35B2"/>
    <w:rsid w:val="006F3B64"/>
    <w:rsid w:val="00700BED"/>
    <w:rsid w:val="007010BA"/>
    <w:rsid w:val="007069D2"/>
    <w:rsid w:val="00707835"/>
    <w:rsid w:val="00710C87"/>
    <w:rsid w:val="00715CC5"/>
    <w:rsid w:val="00720AF8"/>
    <w:rsid w:val="007214FF"/>
    <w:rsid w:val="00722BFF"/>
    <w:rsid w:val="0073214C"/>
    <w:rsid w:val="00744B30"/>
    <w:rsid w:val="00744E6A"/>
    <w:rsid w:val="00746A29"/>
    <w:rsid w:val="00751EA7"/>
    <w:rsid w:val="00753F9A"/>
    <w:rsid w:val="00754C90"/>
    <w:rsid w:val="007560CA"/>
    <w:rsid w:val="0076092D"/>
    <w:rsid w:val="00761AF8"/>
    <w:rsid w:val="0078007E"/>
    <w:rsid w:val="00785F13"/>
    <w:rsid w:val="00790689"/>
    <w:rsid w:val="00791AFE"/>
    <w:rsid w:val="00793EA1"/>
    <w:rsid w:val="007A0036"/>
    <w:rsid w:val="007A1E40"/>
    <w:rsid w:val="007A690C"/>
    <w:rsid w:val="007B03C1"/>
    <w:rsid w:val="007B03DA"/>
    <w:rsid w:val="007B1428"/>
    <w:rsid w:val="007D3EF9"/>
    <w:rsid w:val="007E000A"/>
    <w:rsid w:val="007E22E5"/>
    <w:rsid w:val="007F6715"/>
    <w:rsid w:val="00800559"/>
    <w:rsid w:val="008102BD"/>
    <w:rsid w:val="00812F38"/>
    <w:rsid w:val="0081403F"/>
    <w:rsid w:val="008141B4"/>
    <w:rsid w:val="00814E91"/>
    <w:rsid w:val="00815268"/>
    <w:rsid w:val="00815A2F"/>
    <w:rsid w:val="0082559B"/>
    <w:rsid w:val="00826F35"/>
    <w:rsid w:val="008275F6"/>
    <w:rsid w:val="00834F9A"/>
    <w:rsid w:val="00836EAC"/>
    <w:rsid w:val="008406E3"/>
    <w:rsid w:val="00845225"/>
    <w:rsid w:val="00853741"/>
    <w:rsid w:val="00854427"/>
    <w:rsid w:val="0085667E"/>
    <w:rsid w:val="008641DD"/>
    <w:rsid w:val="00864DE6"/>
    <w:rsid w:val="0086507C"/>
    <w:rsid w:val="00874440"/>
    <w:rsid w:val="00877257"/>
    <w:rsid w:val="00881BDF"/>
    <w:rsid w:val="008863D5"/>
    <w:rsid w:val="008912B9"/>
    <w:rsid w:val="008939B5"/>
    <w:rsid w:val="008941AC"/>
    <w:rsid w:val="00894EAA"/>
    <w:rsid w:val="00896D9C"/>
    <w:rsid w:val="0089713C"/>
    <w:rsid w:val="008A23A6"/>
    <w:rsid w:val="008A3730"/>
    <w:rsid w:val="008A5640"/>
    <w:rsid w:val="008A590E"/>
    <w:rsid w:val="008A5E8E"/>
    <w:rsid w:val="008B2E13"/>
    <w:rsid w:val="008B3CC0"/>
    <w:rsid w:val="008B538D"/>
    <w:rsid w:val="008C1785"/>
    <w:rsid w:val="008C19D9"/>
    <w:rsid w:val="008C5259"/>
    <w:rsid w:val="008D0D77"/>
    <w:rsid w:val="008D12B3"/>
    <w:rsid w:val="008D1324"/>
    <w:rsid w:val="008E10D5"/>
    <w:rsid w:val="008E6F0D"/>
    <w:rsid w:val="008F09FE"/>
    <w:rsid w:val="008F50C0"/>
    <w:rsid w:val="008F7359"/>
    <w:rsid w:val="009017EF"/>
    <w:rsid w:val="0090501C"/>
    <w:rsid w:val="009054DF"/>
    <w:rsid w:val="0091215D"/>
    <w:rsid w:val="00914B51"/>
    <w:rsid w:val="00914C6E"/>
    <w:rsid w:val="00915527"/>
    <w:rsid w:val="00916A10"/>
    <w:rsid w:val="00924CA1"/>
    <w:rsid w:val="00925ABB"/>
    <w:rsid w:val="00930631"/>
    <w:rsid w:val="00932EA1"/>
    <w:rsid w:val="00934212"/>
    <w:rsid w:val="009413FA"/>
    <w:rsid w:val="00943365"/>
    <w:rsid w:val="0094360F"/>
    <w:rsid w:val="00953A03"/>
    <w:rsid w:val="009558C4"/>
    <w:rsid w:val="00955946"/>
    <w:rsid w:val="00956C28"/>
    <w:rsid w:val="0095767E"/>
    <w:rsid w:val="009578E5"/>
    <w:rsid w:val="00960674"/>
    <w:rsid w:val="00960E67"/>
    <w:rsid w:val="00967788"/>
    <w:rsid w:val="009771B2"/>
    <w:rsid w:val="009807D3"/>
    <w:rsid w:val="00984144"/>
    <w:rsid w:val="00986470"/>
    <w:rsid w:val="00986912"/>
    <w:rsid w:val="0098748C"/>
    <w:rsid w:val="00994C2D"/>
    <w:rsid w:val="00995A6E"/>
    <w:rsid w:val="009964CA"/>
    <w:rsid w:val="009A6A81"/>
    <w:rsid w:val="009B199D"/>
    <w:rsid w:val="009B5BB8"/>
    <w:rsid w:val="009B7F96"/>
    <w:rsid w:val="009C20EC"/>
    <w:rsid w:val="009C6C77"/>
    <w:rsid w:val="009C6D63"/>
    <w:rsid w:val="009D4321"/>
    <w:rsid w:val="009D555B"/>
    <w:rsid w:val="009E40A2"/>
    <w:rsid w:val="009E4B2D"/>
    <w:rsid w:val="009E60CA"/>
    <w:rsid w:val="009F329E"/>
    <w:rsid w:val="009F5AFA"/>
    <w:rsid w:val="00A05465"/>
    <w:rsid w:val="00A05793"/>
    <w:rsid w:val="00A106DC"/>
    <w:rsid w:val="00A11647"/>
    <w:rsid w:val="00A15F68"/>
    <w:rsid w:val="00A21A30"/>
    <w:rsid w:val="00A23C7E"/>
    <w:rsid w:val="00A305C4"/>
    <w:rsid w:val="00A42591"/>
    <w:rsid w:val="00A42E23"/>
    <w:rsid w:val="00A46CC9"/>
    <w:rsid w:val="00A50907"/>
    <w:rsid w:val="00A5478D"/>
    <w:rsid w:val="00A5621B"/>
    <w:rsid w:val="00A56521"/>
    <w:rsid w:val="00A77ACA"/>
    <w:rsid w:val="00A804A9"/>
    <w:rsid w:val="00A822F5"/>
    <w:rsid w:val="00A832FD"/>
    <w:rsid w:val="00A85A39"/>
    <w:rsid w:val="00A86A90"/>
    <w:rsid w:val="00A87ECC"/>
    <w:rsid w:val="00A936F5"/>
    <w:rsid w:val="00A95C93"/>
    <w:rsid w:val="00A97B60"/>
    <w:rsid w:val="00AA2CD2"/>
    <w:rsid w:val="00AA6A85"/>
    <w:rsid w:val="00AB0A0C"/>
    <w:rsid w:val="00AB0DCC"/>
    <w:rsid w:val="00AB44D9"/>
    <w:rsid w:val="00AB71D7"/>
    <w:rsid w:val="00AD0811"/>
    <w:rsid w:val="00AD1E73"/>
    <w:rsid w:val="00AF0AB0"/>
    <w:rsid w:val="00AF308B"/>
    <w:rsid w:val="00AF417D"/>
    <w:rsid w:val="00B00DF5"/>
    <w:rsid w:val="00B06269"/>
    <w:rsid w:val="00B07764"/>
    <w:rsid w:val="00B1767C"/>
    <w:rsid w:val="00B17B50"/>
    <w:rsid w:val="00B22D3C"/>
    <w:rsid w:val="00B254EE"/>
    <w:rsid w:val="00B25613"/>
    <w:rsid w:val="00B25892"/>
    <w:rsid w:val="00B258EE"/>
    <w:rsid w:val="00B34909"/>
    <w:rsid w:val="00B42A90"/>
    <w:rsid w:val="00B43061"/>
    <w:rsid w:val="00B43FCE"/>
    <w:rsid w:val="00B44AC2"/>
    <w:rsid w:val="00B463C4"/>
    <w:rsid w:val="00B51EEC"/>
    <w:rsid w:val="00B54E84"/>
    <w:rsid w:val="00B57790"/>
    <w:rsid w:val="00B62E10"/>
    <w:rsid w:val="00B64276"/>
    <w:rsid w:val="00B66F69"/>
    <w:rsid w:val="00B676B3"/>
    <w:rsid w:val="00B730EF"/>
    <w:rsid w:val="00B76687"/>
    <w:rsid w:val="00B76C9C"/>
    <w:rsid w:val="00B80C8A"/>
    <w:rsid w:val="00B80E45"/>
    <w:rsid w:val="00B813D5"/>
    <w:rsid w:val="00BA00F8"/>
    <w:rsid w:val="00BA3510"/>
    <w:rsid w:val="00BA51C9"/>
    <w:rsid w:val="00BA54C9"/>
    <w:rsid w:val="00BA769F"/>
    <w:rsid w:val="00BB098E"/>
    <w:rsid w:val="00BB5D77"/>
    <w:rsid w:val="00BC1492"/>
    <w:rsid w:val="00BD2998"/>
    <w:rsid w:val="00BD6A4E"/>
    <w:rsid w:val="00BD7D2F"/>
    <w:rsid w:val="00BE1DD3"/>
    <w:rsid w:val="00BE3FBE"/>
    <w:rsid w:val="00BF0BC5"/>
    <w:rsid w:val="00BF2F53"/>
    <w:rsid w:val="00BF3419"/>
    <w:rsid w:val="00BF5968"/>
    <w:rsid w:val="00C04A6F"/>
    <w:rsid w:val="00C12653"/>
    <w:rsid w:val="00C141D9"/>
    <w:rsid w:val="00C14B82"/>
    <w:rsid w:val="00C22F6A"/>
    <w:rsid w:val="00C261A8"/>
    <w:rsid w:val="00C370AF"/>
    <w:rsid w:val="00C4356A"/>
    <w:rsid w:val="00C466A8"/>
    <w:rsid w:val="00C536F9"/>
    <w:rsid w:val="00C553D6"/>
    <w:rsid w:val="00C57710"/>
    <w:rsid w:val="00C61467"/>
    <w:rsid w:val="00C615AF"/>
    <w:rsid w:val="00C71909"/>
    <w:rsid w:val="00C75D08"/>
    <w:rsid w:val="00C76D97"/>
    <w:rsid w:val="00C80EC2"/>
    <w:rsid w:val="00C838D4"/>
    <w:rsid w:val="00C8608D"/>
    <w:rsid w:val="00C86350"/>
    <w:rsid w:val="00C90C20"/>
    <w:rsid w:val="00CA0C81"/>
    <w:rsid w:val="00CA23C8"/>
    <w:rsid w:val="00CA29EA"/>
    <w:rsid w:val="00CA48F0"/>
    <w:rsid w:val="00CB18BE"/>
    <w:rsid w:val="00CB4538"/>
    <w:rsid w:val="00CC110D"/>
    <w:rsid w:val="00CD4078"/>
    <w:rsid w:val="00CD7860"/>
    <w:rsid w:val="00CE297E"/>
    <w:rsid w:val="00CF0F1A"/>
    <w:rsid w:val="00CF3BFD"/>
    <w:rsid w:val="00CF3C7F"/>
    <w:rsid w:val="00CF6810"/>
    <w:rsid w:val="00CF6EC1"/>
    <w:rsid w:val="00D02E45"/>
    <w:rsid w:val="00D04F3B"/>
    <w:rsid w:val="00D0521F"/>
    <w:rsid w:val="00D1040F"/>
    <w:rsid w:val="00D15A69"/>
    <w:rsid w:val="00D16126"/>
    <w:rsid w:val="00D170B9"/>
    <w:rsid w:val="00D22CAE"/>
    <w:rsid w:val="00D2625A"/>
    <w:rsid w:val="00D37407"/>
    <w:rsid w:val="00D40372"/>
    <w:rsid w:val="00D43B55"/>
    <w:rsid w:val="00D4464A"/>
    <w:rsid w:val="00D44BD4"/>
    <w:rsid w:val="00D45A96"/>
    <w:rsid w:val="00D47206"/>
    <w:rsid w:val="00D47B03"/>
    <w:rsid w:val="00D558A0"/>
    <w:rsid w:val="00D55AA6"/>
    <w:rsid w:val="00D6168B"/>
    <w:rsid w:val="00D61A70"/>
    <w:rsid w:val="00D62882"/>
    <w:rsid w:val="00D63945"/>
    <w:rsid w:val="00D63B96"/>
    <w:rsid w:val="00D64C7F"/>
    <w:rsid w:val="00D658F0"/>
    <w:rsid w:val="00D710AC"/>
    <w:rsid w:val="00D7177A"/>
    <w:rsid w:val="00D71C3C"/>
    <w:rsid w:val="00D72666"/>
    <w:rsid w:val="00D760C1"/>
    <w:rsid w:val="00D81B64"/>
    <w:rsid w:val="00D84111"/>
    <w:rsid w:val="00D903F4"/>
    <w:rsid w:val="00D91EE9"/>
    <w:rsid w:val="00D95615"/>
    <w:rsid w:val="00D973B5"/>
    <w:rsid w:val="00DB122C"/>
    <w:rsid w:val="00DB4981"/>
    <w:rsid w:val="00DC0F24"/>
    <w:rsid w:val="00DC175C"/>
    <w:rsid w:val="00DC55A3"/>
    <w:rsid w:val="00DD236D"/>
    <w:rsid w:val="00DE493F"/>
    <w:rsid w:val="00DF0C77"/>
    <w:rsid w:val="00DF43C5"/>
    <w:rsid w:val="00DF5B60"/>
    <w:rsid w:val="00DF75EB"/>
    <w:rsid w:val="00E06F86"/>
    <w:rsid w:val="00E14E72"/>
    <w:rsid w:val="00E167D2"/>
    <w:rsid w:val="00E1785C"/>
    <w:rsid w:val="00E216E7"/>
    <w:rsid w:val="00E317DE"/>
    <w:rsid w:val="00E40C87"/>
    <w:rsid w:val="00E41F43"/>
    <w:rsid w:val="00E464F3"/>
    <w:rsid w:val="00E51E5D"/>
    <w:rsid w:val="00E53CF5"/>
    <w:rsid w:val="00E56B53"/>
    <w:rsid w:val="00E57062"/>
    <w:rsid w:val="00E5732B"/>
    <w:rsid w:val="00E578B9"/>
    <w:rsid w:val="00E65771"/>
    <w:rsid w:val="00E726A1"/>
    <w:rsid w:val="00E73997"/>
    <w:rsid w:val="00E9443F"/>
    <w:rsid w:val="00E94B9A"/>
    <w:rsid w:val="00E97A38"/>
    <w:rsid w:val="00EA186E"/>
    <w:rsid w:val="00EB047B"/>
    <w:rsid w:val="00EB20F2"/>
    <w:rsid w:val="00EB6D14"/>
    <w:rsid w:val="00EC010C"/>
    <w:rsid w:val="00EC092F"/>
    <w:rsid w:val="00EC3041"/>
    <w:rsid w:val="00EC70C4"/>
    <w:rsid w:val="00ED09F1"/>
    <w:rsid w:val="00ED4DB7"/>
    <w:rsid w:val="00ED58EF"/>
    <w:rsid w:val="00ED6D0B"/>
    <w:rsid w:val="00EE2823"/>
    <w:rsid w:val="00EE2AD3"/>
    <w:rsid w:val="00EE57F2"/>
    <w:rsid w:val="00EE5A59"/>
    <w:rsid w:val="00EF128A"/>
    <w:rsid w:val="00EF421A"/>
    <w:rsid w:val="00F0203E"/>
    <w:rsid w:val="00F061DC"/>
    <w:rsid w:val="00F063D7"/>
    <w:rsid w:val="00F06A2D"/>
    <w:rsid w:val="00F06E85"/>
    <w:rsid w:val="00F10AA5"/>
    <w:rsid w:val="00F126B9"/>
    <w:rsid w:val="00F2318A"/>
    <w:rsid w:val="00F2439D"/>
    <w:rsid w:val="00F243D0"/>
    <w:rsid w:val="00F30A5B"/>
    <w:rsid w:val="00F34A68"/>
    <w:rsid w:val="00F3738B"/>
    <w:rsid w:val="00F3790E"/>
    <w:rsid w:val="00F37A6C"/>
    <w:rsid w:val="00F54682"/>
    <w:rsid w:val="00F57A4A"/>
    <w:rsid w:val="00F641AD"/>
    <w:rsid w:val="00F65B80"/>
    <w:rsid w:val="00F66AE1"/>
    <w:rsid w:val="00F66B87"/>
    <w:rsid w:val="00F7695A"/>
    <w:rsid w:val="00F7718A"/>
    <w:rsid w:val="00F81F81"/>
    <w:rsid w:val="00F83E71"/>
    <w:rsid w:val="00F85D19"/>
    <w:rsid w:val="00F87710"/>
    <w:rsid w:val="00F921B7"/>
    <w:rsid w:val="00F973BA"/>
    <w:rsid w:val="00FA070A"/>
    <w:rsid w:val="00FA6A41"/>
    <w:rsid w:val="00FB1D2E"/>
    <w:rsid w:val="00FB2F4C"/>
    <w:rsid w:val="00FB583A"/>
    <w:rsid w:val="00FB6D60"/>
    <w:rsid w:val="00FC4FEE"/>
    <w:rsid w:val="00FC79AB"/>
    <w:rsid w:val="00FD3B99"/>
    <w:rsid w:val="00FD5137"/>
    <w:rsid w:val="00FD65E4"/>
    <w:rsid w:val="00FD6EAA"/>
    <w:rsid w:val="00FE317E"/>
    <w:rsid w:val="00FE43C4"/>
    <w:rsid w:val="00FE506B"/>
    <w:rsid w:val="00FE5E75"/>
    <w:rsid w:val="00FF3EB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BF2C"/>
  <w15:docId w15:val="{802A6E8F-9B50-134D-870A-91F635E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0B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36D"/>
  </w:style>
  <w:style w:type="paragraph" w:styleId="Stopka">
    <w:name w:val="footer"/>
    <w:basedOn w:val="Normalny"/>
    <w:link w:val="Stopka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36D"/>
  </w:style>
  <w:style w:type="paragraph" w:customStyle="1" w:styleId="Default">
    <w:name w:val="Default"/>
    <w:qFormat/>
    <w:rsid w:val="00DD23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qFormat/>
    <w:rsid w:val="00E570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7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6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rsid w:val="00E5706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98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E5047"/>
  </w:style>
  <w:style w:type="character" w:styleId="Uwydatnienie">
    <w:name w:val="Emphasis"/>
    <w:basedOn w:val="Domylnaczcionkaakapitu"/>
    <w:uiPriority w:val="20"/>
    <w:qFormat/>
    <w:rsid w:val="004E5047"/>
    <w:rPr>
      <w:i/>
      <w:iCs/>
    </w:rPr>
  </w:style>
  <w:style w:type="character" w:styleId="Pogrubienie">
    <w:name w:val="Strong"/>
    <w:basedOn w:val="Domylnaczcionkaakapitu"/>
    <w:uiPriority w:val="22"/>
    <w:qFormat/>
    <w:rsid w:val="004E504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4D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709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4D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0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0BC5"/>
    <w:rPr>
      <w:color w:val="0000FF"/>
      <w:u w:val="single"/>
    </w:rPr>
  </w:style>
  <w:style w:type="character" w:customStyle="1" w:styleId="hgkelc">
    <w:name w:val="hgkelc"/>
    <w:basedOn w:val="Domylnaczcionkaakapitu"/>
    <w:rsid w:val="0009514F"/>
  </w:style>
  <w:style w:type="character" w:customStyle="1" w:styleId="object">
    <w:name w:val="object"/>
    <w:basedOn w:val="Domylnaczcionkaakapitu"/>
    <w:rsid w:val="00B76C9C"/>
  </w:style>
  <w:style w:type="paragraph" w:styleId="Tekstpodstawowy">
    <w:name w:val="Body Text"/>
    <w:basedOn w:val="Normalny"/>
    <w:link w:val="TekstpodstawowyZnak"/>
    <w:rsid w:val="00476934"/>
    <w:pPr>
      <w:suppressAutoHyphens/>
      <w:spacing w:after="120"/>
    </w:pPr>
    <w:rPr>
      <w:rFonts w:eastAsia="Calibri" w:cs="Calibri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934"/>
    <w:rPr>
      <w:rFonts w:ascii="Calibri" w:eastAsia="Calibri" w:hAnsi="Calibri" w:cs="Calibri"/>
      <w:color w:val="00000A"/>
      <w:lang w:eastAsia="ar-SA"/>
    </w:rPr>
  </w:style>
  <w:style w:type="character" w:styleId="Numerstrony">
    <w:name w:val="page number"/>
    <w:basedOn w:val="Domylnaczcionkaakapitu"/>
    <w:qFormat/>
    <w:rsid w:val="002A2A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4511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258E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58E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4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49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485"/>
    <w:rPr>
      <w:vertAlign w:val="superscript"/>
    </w:rPr>
  </w:style>
  <w:style w:type="paragraph" w:styleId="Poprawka">
    <w:name w:val="Revision"/>
    <w:hidden/>
    <w:uiPriority w:val="99"/>
    <w:semiHidden/>
    <w:rsid w:val="003152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rsid w:val="002E674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skolska@gumed.edu.pl" TargetMode="External"/><Relationship Id="rId13" Type="http://schemas.openxmlformats.org/officeDocument/2006/relationships/hyperlink" Target="mailto:joanna.gaffke@gumed.edu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jaskolska@gumed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gaffke@gumed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dalena.jaskolska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gaffke@gumed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3237-1BB8-433F-9F89-D33C548B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Stefaniuk</dc:creator>
  <cp:lastModifiedBy>Paulina Kowalska</cp:lastModifiedBy>
  <cp:revision>4</cp:revision>
  <cp:lastPrinted>2022-08-12T09:55:00Z</cp:lastPrinted>
  <dcterms:created xsi:type="dcterms:W3CDTF">2022-08-12T07:30:00Z</dcterms:created>
  <dcterms:modified xsi:type="dcterms:W3CDTF">2022-08-12T09:55:00Z</dcterms:modified>
</cp:coreProperties>
</file>