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212785F4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B36B09">
              <w:rPr>
                <w:rFonts w:asciiTheme="majorHAnsi" w:eastAsia="ArialNarrow" w:hAnsiTheme="majorHAnsi" w:cstheme="majorHAnsi"/>
                <w:bCs/>
                <w:sz w:val="20"/>
              </w:rPr>
              <w:t>kwietnia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B550CA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B550CA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B550CA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6F4265A1" w:rsidR="000010C0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B36B09" w:rsidRPr="00621DB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Uruchomienie usługi </w:t>
            </w:r>
            <w:r w:rsidR="00B36B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 obsługa </w:t>
            </w:r>
            <w:r w:rsidR="00B36B09" w:rsidRPr="00621DB3">
              <w:rPr>
                <w:rFonts w:asciiTheme="majorHAnsi" w:hAnsiTheme="majorHAnsi" w:cstheme="majorHAnsi"/>
                <w:b/>
                <w:sz w:val="20"/>
                <w:szCs w:val="20"/>
              </w:rPr>
              <w:t>serwera pocztowego dla KW PSP Poznań</w:t>
            </w:r>
            <w:r w:rsidR="000010C0" w:rsidRPr="00B550CA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312A354E" w:rsidR="000010C0" w:rsidRPr="00B550CA" w:rsidRDefault="00B36B09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WT.2370.07</w:t>
            </w:r>
            <w:r w:rsidR="000010C0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2D2F43B3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  |  </w:t>
      </w:r>
      <w:r w:rsidRPr="00B550CA">
        <w:rPr>
          <w:rFonts w:asciiTheme="majorHAnsi" w:hAnsiTheme="majorHAnsi" w:cstheme="majorHAnsi"/>
          <w:sz w:val="20"/>
          <w:szCs w:val="20"/>
        </w:rPr>
        <w:t>NIP: 778 12 09</w:t>
      </w:r>
      <w:r w:rsidR="0054147A" w:rsidRPr="00B550CA">
        <w:rPr>
          <w:rFonts w:asciiTheme="majorHAnsi" w:hAnsiTheme="majorHAnsi" w:cstheme="majorHAnsi"/>
          <w:sz w:val="20"/>
          <w:szCs w:val="20"/>
        </w:rPr>
        <w:t> </w:t>
      </w:r>
      <w:r w:rsidRPr="00B550CA">
        <w:rPr>
          <w:rFonts w:asciiTheme="majorHAnsi" w:hAnsiTheme="majorHAnsi" w:cstheme="majorHAnsi"/>
          <w:sz w:val="20"/>
          <w:szCs w:val="20"/>
        </w:rPr>
        <w:t>832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B550CA">
        <w:rPr>
          <w:rFonts w:asciiTheme="majorHAnsi" w:hAnsiTheme="majorHAnsi" w:cstheme="majorHAnsi"/>
          <w:sz w:val="20"/>
          <w:szCs w:val="20"/>
        </w:rPr>
        <w:t>e</w:t>
      </w:r>
      <w:r w:rsidRPr="00B550CA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B550CA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0C3031B4" w14:textId="39879E50" w:rsidR="007024A8" w:rsidRPr="009748FF" w:rsidRDefault="00D154A0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B36B09">
        <w:rPr>
          <w:rFonts w:asciiTheme="majorHAnsi" w:hAnsiTheme="majorHAnsi" w:cstheme="majorHAnsi"/>
          <w:sz w:val="20"/>
          <w:szCs w:val="20"/>
        </w:rPr>
        <w:t>uruchomienie usługi i obsługa serwera pocztowego</w:t>
      </w:r>
      <w:r w:rsidR="00B550CA" w:rsidRPr="009748FF">
        <w:rPr>
          <w:rFonts w:asciiTheme="majorHAnsi" w:hAnsiTheme="majorHAnsi" w:cstheme="majorHAnsi"/>
          <w:sz w:val="20"/>
          <w:szCs w:val="20"/>
        </w:rPr>
        <w:t xml:space="preserve"> na potrzeby Komendy Wojewódzkiej PSP w Poznaniu.</w:t>
      </w:r>
      <w:r w:rsidR="007C1844" w:rsidRPr="009748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294848" w14:textId="685D7CE4" w:rsidR="007024A8" w:rsidRPr="00722CBE" w:rsidRDefault="00722CBE" w:rsidP="00722CBE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22CBE">
        <w:rPr>
          <w:rFonts w:asciiTheme="majorHAnsi" w:hAnsiTheme="majorHAnsi" w:cstheme="majorHAnsi"/>
          <w:sz w:val="20"/>
          <w:szCs w:val="20"/>
        </w:rPr>
        <w:t xml:space="preserve">Wykonawca wystawi stosowną fakturę VAT </w:t>
      </w:r>
      <w:r w:rsidR="007024A8" w:rsidRPr="00722CBE">
        <w:rPr>
          <w:rFonts w:asciiTheme="majorHAnsi" w:hAnsiTheme="majorHAnsi" w:cstheme="majorHAnsi"/>
          <w:sz w:val="20"/>
          <w:szCs w:val="20"/>
        </w:rPr>
        <w:t xml:space="preserve">za </w:t>
      </w:r>
      <w:r w:rsidR="00B36B09" w:rsidRPr="00722CBE">
        <w:rPr>
          <w:rFonts w:asciiTheme="majorHAnsi" w:hAnsiTheme="majorHAnsi" w:cstheme="majorHAnsi"/>
          <w:sz w:val="20"/>
          <w:szCs w:val="20"/>
        </w:rPr>
        <w:t>każdy miesiąc usługi</w:t>
      </w:r>
      <w:r w:rsidR="007024A8" w:rsidRPr="00722CBE">
        <w:rPr>
          <w:rFonts w:asciiTheme="majorHAnsi" w:hAnsiTheme="majorHAnsi" w:cstheme="majorHAnsi"/>
          <w:sz w:val="20"/>
          <w:szCs w:val="20"/>
        </w:rPr>
        <w:t xml:space="preserve"> </w:t>
      </w:r>
      <w:r w:rsidRPr="00722CBE">
        <w:rPr>
          <w:rFonts w:asciiTheme="majorHAnsi" w:hAnsiTheme="majorHAnsi" w:cstheme="majorHAnsi"/>
          <w:sz w:val="20"/>
          <w:szCs w:val="20"/>
        </w:rPr>
        <w:t>z</w:t>
      </w:r>
      <w:r w:rsidR="007024A8" w:rsidRPr="00722CB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terminem płatności 14 dni – przelewem.</w:t>
      </w:r>
      <w:bookmarkStart w:id="0" w:name="_GoBack"/>
      <w:bookmarkEnd w:id="0"/>
    </w:p>
    <w:p w14:paraId="78F8529B" w14:textId="3AC6B418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469F42C1" w14:textId="17EC3F01" w:rsidR="004708AB" w:rsidRPr="009748FF" w:rsidRDefault="00B550CA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04283C7E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 xml:space="preserve">Termin realizacji zamówienia: 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od </w:t>
      </w:r>
      <w:r w:rsidR="00B36B09">
        <w:rPr>
          <w:rFonts w:asciiTheme="majorHAnsi" w:hAnsiTheme="majorHAnsi" w:cstheme="majorHAnsi"/>
          <w:b/>
          <w:sz w:val="20"/>
        </w:rPr>
        <w:t>1 maja 2022 r.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 do dn</w:t>
      </w:r>
      <w:r w:rsidR="00B36B09">
        <w:rPr>
          <w:rFonts w:asciiTheme="majorHAnsi" w:hAnsiTheme="majorHAnsi" w:cstheme="majorHAnsi"/>
          <w:b/>
          <w:sz w:val="20"/>
        </w:rPr>
        <w:t>ia 31 grudnia 2023</w:t>
      </w:r>
      <w:r w:rsidR="00B550CA" w:rsidRPr="009748FF">
        <w:rPr>
          <w:rFonts w:asciiTheme="majorHAnsi" w:hAnsiTheme="majorHAnsi" w:cstheme="majorHAnsi"/>
          <w:b/>
          <w:sz w:val="20"/>
        </w:rPr>
        <w:t xml:space="preserve">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550CA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1AAA6082" w:rsidR="00246797" w:rsidRPr="00B550CA" w:rsidRDefault="00B36B09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28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kwietnia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 xml:space="preserve"> r. do godziny 14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12473853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3EAAAB2B" w:rsidR="00FE33CA" w:rsidRPr="00B550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winna posiadać formę pisemną i być napisana na komputerze lub inną trwałą czytelną techniką oraz podpisana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342D2F83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67D3E64C" w:rsidR="006263B7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 xml:space="preserve">XX.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75174255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5D5583FA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024A8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przedmiotu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zamówienia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7024A8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– szacunkowe potrzeby na materiały biurowe.</w:t>
      </w:r>
    </w:p>
    <w:p w14:paraId="41E53B7E" w14:textId="1FE0CDA8" w:rsidR="00530E2C" w:rsidRPr="00B550CA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B550CA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72A5BB0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722CBE">
                  <w:rPr>
                    <w:noProof/>
                    <w:sz w:val="20"/>
                    <w:szCs w:val="16"/>
                  </w:rPr>
                  <w:t>2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3ED3DA2E" w:rsidR="00B550CA" w:rsidRP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 w:rsidRPr="00B550CA">
      <w:rPr>
        <w:sz w:val="16"/>
        <w:szCs w:val="16"/>
      </w:rPr>
      <w:t>NR SPRAWY WT.2370.0</w:t>
    </w:r>
    <w:r w:rsidR="00B36B09">
      <w:rPr>
        <w:sz w:val="16"/>
        <w:szCs w:val="16"/>
      </w:rPr>
      <w:t>7</w:t>
    </w:r>
    <w:r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28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17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29"/>
  </w:num>
  <w:num w:numId="15">
    <w:abstractNumId w:val="27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24"/>
  </w:num>
  <w:num w:numId="23">
    <w:abstractNumId w:val="23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9"/>
  </w:num>
  <w:num w:numId="29">
    <w:abstractNumId w:val="12"/>
  </w:num>
  <w:num w:numId="30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57A9-834D-47D2-AA34-843DDFDE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141</cp:revision>
  <cp:lastPrinted>2022-03-18T12:59:00Z</cp:lastPrinted>
  <dcterms:created xsi:type="dcterms:W3CDTF">2020-10-07T11:10:00Z</dcterms:created>
  <dcterms:modified xsi:type="dcterms:W3CDTF">2022-04-26T08:24:00Z</dcterms:modified>
</cp:coreProperties>
</file>