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6E9BAA8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6313">
        <w:rPr>
          <w:rFonts w:ascii="Verdana" w:hAnsi="Verdana" w:cstheme="minorHAnsi"/>
          <w:sz w:val="20"/>
          <w:szCs w:val="20"/>
        </w:rPr>
        <w:br/>
      </w:r>
      <w:r w:rsidR="00D8721C">
        <w:rPr>
          <w:rFonts w:ascii="Verdana" w:hAnsi="Verdana"/>
          <w:b/>
          <w:bCs/>
          <w:sz w:val="18"/>
          <w:szCs w:val="18"/>
        </w:rPr>
        <w:t>Opróżnianie zbiorników i transport ścieków/2022</w:t>
      </w:r>
      <w:r w:rsidR="008476B6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D8721C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11 września 2019 r. Prawo zamówień publicznych (t. j. Dz. U. z 2019 r. poz. 2019 ze zm.),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D8721C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D8721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D8721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D5F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8721C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16</cp:revision>
  <cp:lastPrinted>2022-02-02T06:10:00Z</cp:lastPrinted>
  <dcterms:created xsi:type="dcterms:W3CDTF">2021-02-19T13:15:00Z</dcterms:created>
  <dcterms:modified xsi:type="dcterms:W3CDTF">2022-03-04T11:55:00Z</dcterms:modified>
</cp:coreProperties>
</file>