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1701"/>
        <w:gridCol w:w="1134"/>
        <w:gridCol w:w="1417"/>
        <w:gridCol w:w="6"/>
        <w:gridCol w:w="1979"/>
      </w:tblGrid>
      <w:tr w:rsidR="00E66E9D" w:rsidRPr="007927DB" w:rsidTr="00930773">
        <w:trPr>
          <w:trHeight w:val="552"/>
        </w:trPr>
        <w:tc>
          <w:tcPr>
            <w:tcW w:w="567" w:type="dxa"/>
            <w:noWrap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Pr="007927DB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946" w:type="dxa"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produktu</w:t>
            </w: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Ilość/szt.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brutto/szt.</w:t>
            </w:r>
          </w:p>
        </w:tc>
        <w:tc>
          <w:tcPr>
            <w:tcW w:w="1985" w:type="dxa"/>
            <w:gridSpan w:val="2"/>
          </w:tcPr>
          <w:p w:rsidR="00E66E9D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E66E9D" w:rsidRPr="007927DB" w:rsidTr="00930773">
        <w:trPr>
          <w:trHeight w:val="1970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927D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946" w:type="dxa"/>
            <w:hideMark/>
          </w:tcPr>
          <w:p w:rsidR="00E66E9D" w:rsidRPr="007927DB" w:rsidRDefault="00E66E9D" w:rsidP="00930773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927DB">
              <w:rPr>
                <w:rFonts w:ascii="Arial" w:hAnsi="Arial" w:cs="Arial"/>
                <w:lang w:eastAsia="pl-PL"/>
              </w:rPr>
              <w:t xml:space="preserve">Mydło w płynie, zagęszczone przeznaczone do mycia rąk i ciała. Zawierające substancje nawilżające i natłuszczające, dzięki czemu skóra staje się delikatna i miła w dotyku. Przeznaczone do wszystkich rodzajów skóry. . Postać fizyczna jaką ma spełniać produkt to perłowy płyn , barwy białej o przyjemnym zapachu. PH mydła winno wynosić 5,5 . Gęstość względna produktu w 20 ºC - minimum 1,03 g /cm 3. ( mydło nie może wyciekać z dozownika) Zawartość opakowania 5 l. </w:t>
            </w:r>
            <w:proofErr w:type="spellStart"/>
            <w:r w:rsidRPr="007927DB">
              <w:rPr>
                <w:rFonts w:ascii="Arial" w:hAnsi="Arial" w:cs="Arial"/>
                <w:lang w:eastAsia="pl-PL"/>
              </w:rPr>
              <w:t>np</w:t>
            </w:r>
            <w:proofErr w:type="spellEnd"/>
            <w:r w:rsidRPr="007927DB">
              <w:rPr>
                <w:rFonts w:ascii="Arial" w:hAnsi="Arial" w:cs="Arial"/>
                <w:lang w:eastAsia="pl-PL"/>
              </w:rPr>
              <w:t xml:space="preserve"> firmy BARLON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290  </w:t>
            </w:r>
          </w:p>
        </w:tc>
        <w:tc>
          <w:tcPr>
            <w:tcW w:w="1417" w:type="dxa"/>
            <w:noWrap/>
            <w:hideMark/>
          </w:tcPr>
          <w:p w:rsidR="00E66E9D" w:rsidRPr="007927DB" w:rsidRDefault="00E66E9D" w:rsidP="0093077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2400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6946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 xml:space="preserve">Mleczko do czyszczenia wanien, kuchenek, wszelkich powierzchni emaliowanych, blatów, umywalek, zlewozmywaków, urządzeń sanitarnych ,glazury , terakoty, kabin prysznicowych oraz garnków i zastawy stołowej. Ma doskonale usuwać brud i tłuszcz. Nie rysować i pozostawiać czyszczone powierzchnie lśniące o świeżym, cytrynowym zapachu. Zastosowanie - w gospodarstwach domowych, zakładach służby zdrowia, przemyśle mięsnym, rybnym i spożywczym, gospodarce komunalnej. </w:t>
            </w:r>
            <w:proofErr w:type="spellStart"/>
            <w:r w:rsidRPr="007927DB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  <w:r w:rsidRPr="007927DB">
              <w:rPr>
                <w:rFonts w:ascii="Arial" w:eastAsia="Times New Roman" w:hAnsi="Arial" w:cs="Arial"/>
                <w:lang w:eastAsia="pl-PL"/>
              </w:rPr>
              <w:t xml:space="preserve"> wyrobu w 20 stopniach C - 9,5-11, gęstość ( g/cm3) 1,45 +- 0,05., pojemność 500 g.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307  </w:t>
            </w:r>
          </w:p>
        </w:tc>
        <w:tc>
          <w:tcPr>
            <w:tcW w:w="1417" w:type="dxa"/>
            <w:noWrap/>
            <w:hideMark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1871"/>
        </w:trPr>
        <w:tc>
          <w:tcPr>
            <w:tcW w:w="567" w:type="dxa"/>
            <w:noWrap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6946" w:type="dxa"/>
          </w:tcPr>
          <w:p w:rsidR="00E66E9D" w:rsidRPr="009801B9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9801B9">
              <w:rPr>
                <w:rFonts w:ascii="Arial" w:hAnsi="Arial" w:cs="Arial"/>
                <w:b/>
              </w:rPr>
              <w:t>DOMESTOS WC ŻEL PINE FRESH 750ML 24H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01B9">
              <w:rPr>
                <w:rFonts w:ascii="Arial" w:eastAsia="Times New Roman" w:hAnsi="Arial" w:cs="Arial"/>
                <w:lang w:eastAsia="pl-PL"/>
              </w:rPr>
              <w:t>Zagęszczony płyn do czyszczenia i dezynfekcji urządzeń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801B9">
              <w:rPr>
                <w:rFonts w:ascii="Arial" w:eastAsia="Times New Roman" w:hAnsi="Arial" w:cs="Arial"/>
                <w:lang w:eastAsia="pl-PL"/>
              </w:rPr>
              <w:t>i pomieszczeń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801B9">
              <w:rPr>
                <w:rFonts w:ascii="Arial" w:eastAsia="Times New Roman" w:hAnsi="Arial" w:cs="Arial"/>
                <w:lang w:eastAsia="pl-PL"/>
              </w:rPr>
              <w:t xml:space="preserve">sanitarnych oraz do dezynfekcji powierzchni </w:t>
            </w:r>
          </w:p>
          <w:p w:rsidR="00E66E9D" w:rsidRPr="009801B9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9801B9">
              <w:rPr>
                <w:rFonts w:ascii="Arial" w:eastAsia="Times New Roman" w:hAnsi="Arial" w:cs="Arial"/>
                <w:lang w:eastAsia="pl-PL"/>
              </w:rPr>
              <w:t>w szpitalach i innych zakładach opieki zdrowotnej</w:t>
            </w:r>
            <w:r w:rsidRPr="009801B9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. </w:t>
            </w:r>
          </w:p>
          <w:p w:rsidR="00E66E9D" w:rsidRPr="009801B9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9801B9">
              <w:rPr>
                <w:rFonts w:ascii="Arial" w:eastAsia="Times New Roman" w:hAnsi="Arial" w:cs="Arial"/>
                <w:lang w:eastAsia="pl-PL"/>
              </w:rPr>
              <w:t xml:space="preserve">Podchloryn sodu roztwór </w:t>
            </w:r>
          </w:p>
          <w:p w:rsidR="00E66E9D" w:rsidRPr="009801B9" w:rsidRDefault="00E66E9D" w:rsidP="0093077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801B9">
              <w:rPr>
                <w:rFonts w:ascii="Arial" w:eastAsia="Times New Roman" w:hAnsi="Arial" w:cs="Arial"/>
                <w:lang w:eastAsia="pl-PL"/>
              </w:rPr>
              <w:t>zawierający 4,6 % aktywnego Cl 1- 5 %</w:t>
            </w:r>
            <w:r w:rsidR="00064D9C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9801B9">
              <w:rPr>
                <w:rFonts w:ascii="Arial" w:eastAsia="Times New Roman" w:hAnsi="Arial" w:cs="Arial"/>
                <w:lang w:eastAsia="pl-PL"/>
              </w:rPr>
              <w:t>Alkilodimetyloamina</w:t>
            </w:r>
            <w:proofErr w:type="spellEnd"/>
            <w:r w:rsidRPr="009801B9">
              <w:rPr>
                <w:rFonts w:ascii="Arial" w:eastAsia="Times New Roman" w:hAnsi="Arial" w:cs="Arial"/>
                <w:lang w:eastAsia="pl-PL"/>
              </w:rPr>
              <w:t xml:space="preserve"> C12-18 1- 5 % </w:t>
            </w:r>
            <w:r w:rsidR="00064D9C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9801B9">
              <w:rPr>
                <w:rFonts w:ascii="Arial" w:eastAsia="Times New Roman" w:hAnsi="Arial" w:cs="Arial"/>
                <w:lang w:eastAsia="pl-PL"/>
              </w:rPr>
              <w:t xml:space="preserve">Wodorotlenek sodu  &lt; 1 % 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749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553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6946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 xml:space="preserve">Zagęszczony płyn do mycia i dezynfekcji stołów, naczyń, pojemników i narzędzi kontaktujących się z żywnością, a także ścian, podłóg, maszyn, urządzeń i wózków transportowych. Przeznaczony także do mycia i wybielania ceramicznych urządzeń sanitarnych, do mycia glazury i terakoty oraz wybielania tkanin naturalnych. Skuteczny w usuwaniu pleśni, czarnych nalotów, grzybów na ścianach, fugach, glazurze i terakocie itp. Stosowany w gospodarstwach domowych, zakładach służby zdrowia, przemyśle </w:t>
            </w:r>
            <w:r w:rsidRPr="007927DB">
              <w:rPr>
                <w:rFonts w:ascii="Arial" w:eastAsia="Times New Roman" w:hAnsi="Arial" w:cs="Arial"/>
                <w:lang w:eastAsia="pl-PL"/>
              </w:rPr>
              <w:lastRenderedPageBreak/>
              <w:t xml:space="preserve">spożywczym, gospodarce komunalnej. Zakres działania : bakteriobójcze i grzybobójcze. </w:t>
            </w:r>
            <w:r w:rsidRPr="007927D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Skład podchloryn sodu, zawartość aktywnego chloru &lt;5%(np. ATOS firmy BARLON) Pojemność 750 ml ( nie dopuszcza się środków z zawartością alkoholu jako składnika dezynfekującego). </w:t>
            </w:r>
            <w:proofErr w:type="spellStart"/>
            <w:r w:rsidRPr="007927DB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  <w:r w:rsidRPr="007927DB">
              <w:rPr>
                <w:rFonts w:ascii="Arial" w:eastAsia="Times New Roman" w:hAnsi="Arial" w:cs="Arial"/>
                <w:lang w:eastAsia="pl-PL"/>
              </w:rPr>
              <w:t xml:space="preserve"> wyrobu 13 +-0,05, gęstość w 20 stopniach C 1,08 +- 0,0</w:t>
            </w:r>
            <w:r w:rsidRPr="007927D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 </w:t>
            </w:r>
            <w:r w:rsidRPr="007927DB">
              <w:rPr>
                <w:rFonts w:ascii="Arial" w:eastAsia="Times New Roman" w:hAnsi="Arial" w:cs="Arial"/>
                <w:lang w:eastAsia="pl-PL"/>
              </w:rPr>
              <w:t>g/cm3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749  </w:t>
            </w:r>
          </w:p>
        </w:tc>
        <w:tc>
          <w:tcPr>
            <w:tcW w:w="1417" w:type="dxa"/>
            <w:noWrap/>
            <w:hideMark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1993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lastRenderedPageBreak/>
              <w:t>5.</w:t>
            </w:r>
          </w:p>
        </w:tc>
        <w:tc>
          <w:tcPr>
            <w:tcW w:w="6946" w:type="dxa"/>
          </w:tcPr>
          <w:p w:rsidR="00E66E9D" w:rsidRPr="000661A2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661A2">
              <w:rPr>
                <w:rFonts w:ascii="Arial" w:eastAsia="Tahoma" w:hAnsi="Arial" w:cs="Arial"/>
              </w:rPr>
              <w:t>Niskopieniący</w:t>
            </w:r>
            <w:proofErr w:type="spellEnd"/>
            <w:r w:rsidRPr="000661A2">
              <w:rPr>
                <w:rFonts w:ascii="Arial" w:eastAsia="Tahoma" w:hAnsi="Arial" w:cs="Arial"/>
              </w:rPr>
              <w:t xml:space="preserve">  preparat do gruntownego mycia, czyszczenia i usuwania uporczywych zabrudzeń (ślady po wózkach) oraz do usuwania starych zniszczonych podłóg polimerowych z wodoodpornych powierzchni np. PCV ,</w:t>
            </w:r>
            <w:proofErr w:type="spellStart"/>
            <w:r w:rsidRPr="000661A2">
              <w:rPr>
                <w:rFonts w:ascii="Arial" w:eastAsia="Tahoma" w:hAnsi="Arial" w:cs="Arial"/>
              </w:rPr>
              <w:t>tarcettu</w:t>
            </w:r>
            <w:proofErr w:type="spellEnd"/>
            <w:r w:rsidRPr="000661A2">
              <w:rPr>
                <w:rFonts w:ascii="Arial" w:eastAsia="Tahoma" w:hAnsi="Arial" w:cs="Arial"/>
              </w:rPr>
              <w:t xml:space="preserve">, malowanych i lakierowanych podłóg drewnianych, z tworzyw sztucznych, kamiennych, parkietów, posadzek z lastrico, marmuru odpornych na działanie środków zasadowych. Do stosowania ręcznego, przy użyciu </w:t>
            </w:r>
            <w:proofErr w:type="spellStart"/>
            <w:r w:rsidRPr="000661A2">
              <w:rPr>
                <w:rFonts w:ascii="Arial" w:eastAsia="Tahoma" w:hAnsi="Arial" w:cs="Arial"/>
              </w:rPr>
              <w:t>mopa</w:t>
            </w:r>
            <w:proofErr w:type="spellEnd"/>
            <w:r w:rsidRPr="000661A2">
              <w:rPr>
                <w:rFonts w:ascii="Arial" w:eastAsia="Tahoma" w:hAnsi="Arial" w:cs="Arial"/>
              </w:rPr>
              <w:t xml:space="preserve"> oraz mechanicznego. Produkt </w:t>
            </w:r>
            <w:proofErr w:type="spellStart"/>
            <w:r w:rsidRPr="000661A2">
              <w:rPr>
                <w:rFonts w:ascii="Arial" w:eastAsia="Tahoma" w:hAnsi="Arial" w:cs="Arial"/>
              </w:rPr>
              <w:t>profesjonalny.</w:t>
            </w:r>
            <w:r w:rsidRPr="000661A2">
              <w:rPr>
                <w:rFonts w:ascii="Arial" w:eastAsia="Tahoma" w:hAnsi="Arial" w:cs="Arial"/>
                <w:b/>
              </w:rPr>
              <w:t>FLO</w:t>
            </w:r>
            <w:r>
              <w:rPr>
                <w:rFonts w:ascii="Arial" w:eastAsia="Tahoma" w:hAnsi="Arial" w:cs="Arial"/>
                <w:b/>
              </w:rPr>
              <w:t>O</w:t>
            </w:r>
            <w:r w:rsidRPr="000661A2">
              <w:rPr>
                <w:rFonts w:ascii="Arial" w:eastAsia="Tahoma" w:hAnsi="Arial" w:cs="Arial"/>
                <w:b/>
              </w:rPr>
              <w:t>REX</w:t>
            </w:r>
            <w:proofErr w:type="spellEnd"/>
            <w:r w:rsidRPr="000661A2">
              <w:rPr>
                <w:rFonts w:ascii="Arial" w:eastAsia="Tahoma" w:hAnsi="Arial" w:cs="Arial"/>
                <w:b/>
              </w:rPr>
              <w:t xml:space="preserve"> M firmy </w:t>
            </w:r>
            <w:proofErr w:type="spellStart"/>
            <w:r w:rsidRPr="000661A2">
              <w:rPr>
                <w:rFonts w:ascii="Arial" w:eastAsia="Tahoma" w:hAnsi="Arial" w:cs="Arial"/>
                <w:b/>
              </w:rPr>
              <w:t>Barlon</w:t>
            </w:r>
            <w:proofErr w:type="spellEnd"/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4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930773">
        <w:trPr>
          <w:trHeight w:val="777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27DB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Środek do udrożniania rur kanalizacyjnych przy wannach, zlewozmywakach, umywalkach i innych urządzeniach sanitarnych. W postaci gęstego płynu nie granulat. Zawartość opakowania 600 </w:t>
            </w:r>
            <w:r w:rsidR="00064D9C">
              <w:rPr>
                <w:rFonts w:ascii="Arial" w:eastAsia="Times New Roman" w:hAnsi="Arial" w:cs="Arial"/>
                <w:color w:val="000000"/>
                <w:lang w:eastAsia="pl-PL"/>
              </w:rPr>
              <w:t>ml</w:t>
            </w:r>
            <w:r w:rsidRPr="007927D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98  </w:t>
            </w:r>
          </w:p>
        </w:tc>
        <w:tc>
          <w:tcPr>
            <w:tcW w:w="1417" w:type="dxa"/>
            <w:noWrap/>
            <w:hideMark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66E9D" w:rsidRPr="007927DB" w:rsidTr="00930773">
        <w:trPr>
          <w:trHeight w:val="937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927DB">
              <w:rPr>
                <w:rFonts w:ascii="Arial" w:eastAsia="Times New Roman" w:hAnsi="Arial" w:cs="Arial"/>
                <w:color w:val="000000"/>
                <w:lang w:eastAsia="pl-PL"/>
              </w:rPr>
              <w:t>Preparat  do czyszczenia i pielęgnacji mebli oraz innych powierzchni drewnianych. Środek  w aerozolu (rozpylana jest delikatna mgiełka),</w:t>
            </w:r>
            <w:proofErr w:type="spellStart"/>
            <w:r w:rsidRPr="007927DB">
              <w:rPr>
                <w:rFonts w:ascii="Arial" w:eastAsia="Times New Roman" w:hAnsi="Arial" w:cs="Arial"/>
                <w:color w:val="000000"/>
                <w:lang w:eastAsia="pl-PL"/>
              </w:rPr>
              <w:t>poj</w:t>
            </w:r>
            <w:proofErr w:type="spellEnd"/>
            <w:r w:rsidRPr="007927DB">
              <w:rPr>
                <w:rFonts w:ascii="Arial" w:eastAsia="Times New Roman" w:hAnsi="Arial" w:cs="Arial"/>
                <w:color w:val="000000"/>
                <w:lang w:eastAsia="pl-PL"/>
              </w:rPr>
              <w:t xml:space="preserve"> 250 ml . Nie może pozostawiać </w:t>
            </w:r>
            <w:proofErr w:type="spellStart"/>
            <w:r w:rsidRPr="007927DB">
              <w:rPr>
                <w:rFonts w:ascii="Arial" w:eastAsia="Times New Roman" w:hAnsi="Arial" w:cs="Arial"/>
                <w:color w:val="000000"/>
                <w:lang w:eastAsia="pl-PL"/>
              </w:rPr>
              <w:t>mazów</w:t>
            </w:r>
            <w:proofErr w:type="spellEnd"/>
            <w:r w:rsidRPr="007927DB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smug. </w:t>
            </w:r>
            <w:r w:rsidRPr="007927D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Gęstość względna 0,96 g/cm3.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PRONTO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297  </w:t>
            </w:r>
          </w:p>
        </w:tc>
        <w:tc>
          <w:tcPr>
            <w:tcW w:w="1417" w:type="dxa"/>
            <w:noWrap/>
            <w:hideMark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990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Proszek do prania w pralkach automatycznych, do tkanin białych. Zawierający związki wybielające i rozjaśniacze optyczne. Działający w zakresie temperatur od 30 do 90 stopni C. Opakowanie nie mniejsze niż 1,5 kg, a nie większe niż 3 kg.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37  </w:t>
            </w:r>
          </w:p>
        </w:tc>
        <w:tc>
          <w:tcPr>
            <w:tcW w:w="1417" w:type="dxa"/>
            <w:noWrap/>
            <w:hideMark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506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Odświeżacz powietrza spray 300 ml o zapachu lawendy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145  </w:t>
            </w:r>
          </w:p>
        </w:tc>
        <w:tc>
          <w:tcPr>
            <w:tcW w:w="1417" w:type="dxa"/>
            <w:noWrap/>
            <w:hideMark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1146"/>
        </w:trPr>
        <w:tc>
          <w:tcPr>
            <w:tcW w:w="567" w:type="dxa"/>
            <w:noWrap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  <w:hideMark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t xml:space="preserve">Odświeżacz powietrza - płynny perfumowany preparat do odświeżania powierzchni sanitarnych, o długotrwałym przyjemnym zapachu. Produkt profesjonalny o kompozycji zapachowej   </w:t>
            </w:r>
            <w:r w:rsidRPr="007927DB">
              <w:rPr>
                <w:rFonts w:ascii="Arial" w:eastAsia="Times New Roman" w:hAnsi="Arial" w:cs="Arial"/>
                <w:b/>
                <w:lang w:eastAsia="pl-PL"/>
              </w:rPr>
              <w:t>kwiatowej</w:t>
            </w:r>
            <w:r w:rsidRPr="007927DB">
              <w:rPr>
                <w:rFonts w:ascii="Arial" w:eastAsia="Times New Roman" w:hAnsi="Arial" w:cs="Arial"/>
                <w:lang w:eastAsia="pl-PL"/>
              </w:rPr>
              <w:t>. Opakowanie 0,5 l z rozpylaczem w postaci atomizera</w:t>
            </w:r>
            <w:r w:rsidR="00064D9C">
              <w:rPr>
                <w:rFonts w:ascii="Arial" w:eastAsia="Times New Roman" w:hAnsi="Arial" w:cs="Arial"/>
                <w:lang w:eastAsia="pl-PL"/>
              </w:rPr>
              <w:t xml:space="preserve">              (</w:t>
            </w:r>
            <w:r w:rsidRPr="007927DB">
              <w:rPr>
                <w:rFonts w:ascii="Arial" w:eastAsia="Times New Roman" w:hAnsi="Arial" w:cs="Arial"/>
                <w:lang w:eastAsia="pl-PL"/>
              </w:rPr>
              <w:t xml:space="preserve">nie spray). </w:t>
            </w:r>
            <w:proofErr w:type="spellStart"/>
            <w:r w:rsidRPr="007927DB">
              <w:rPr>
                <w:rFonts w:ascii="Arial" w:eastAsia="Times New Roman" w:hAnsi="Arial" w:cs="Arial"/>
                <w:lang w:eastAsia="pl-PL"/>
              </w:rPr>
              <w:t>np</w:t>
            </w:r>
            <w:proofErr w:type="spellEnd"/>
            <w:r w:rsidRPr="007927DB">
              <w:rPr>
                <w:rFonts w:ascii="Arial" w:eastAsia="Times New Roman" w:hAnsi="Arial" w:cs="Arial"/>
                <w:lang w:eastAsia="pl-PL"/>
              </w:rPr>
              <w:t xml:space="preserve"> OPS firmy BARLON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146  </w:t>
            </w:r>
          </w:p>
        </w:tc>
        <w:tc>
          <w:tcPr>
            <w:tcW w:w="1417" w:type="dxa"/>
            <w:noWrap/>
            <w:hideMark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1900"/>
        </w:trPr>
        <w:tc>
          <w:tcPr>
            <w:tcW w:w="56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27DB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  <w:r w:rsidRPr="007927DB">
              <w:rPr>
                <w:rFonts w:ascii="Arial" w:hAnsi="Arial" w:cs="Arial"/>
              </w:rPr>
              <w:t xml:space="preserve">Gęsta emulsja do konsystencji pasty. Środek przeznaczony do czyszczenia zlewów, umywalek, ceramicznych urządzeń sanitarnych, terakoty, płytek PCV. Skutecznie ma usuwać trudno zmywalne naloty, kamień, rdzawe plamy i inne zabrudzenia. Czyści bez zarysowań. </w:t>
            </w:r>
            <w:r w:rsidRPr="007927DB">
              <w:rPr>
                <w:rFonts w:ascii="Arial" w:hAnsi="Arial" w:cs="Arial"/>
                <w:b/>
                <w:bCs/>
              </w:rPr>
              <w:t xml:space="preserve">Zawartość kwasu fosforowego &lt; 5%  </w:t>
            </w:r>
            <w:proofErr w:type="spellStart"/>
            <w:r w:rsidRPr="007927DB">
              <w:rPr>
                <w:rFonts w:ascii="Arial" w:hAnsi="Arial" w:cs="Arial"/>
                <w:b/>
                <w:bCs/>
              </w:rPr>
              <w:t>pH</w:t>
            </w:r>
            <w:proofErr w:type="spellEnd"/>
            <w:r w:rsidRPr="007927DB">
              <w:rPr>
                <w:rFonts w:ascii="Arial" w:hAnsi="Arial" w:cs="Arial"/>
                <w:b/>
                <w:bCs/>
              </w:rPr>
              <w:t xml:space="preserve"> wyrobu w 20 stopniach C 2-3, gęstość 1,45 +- 0,05 g/cm3.</w:t>
            </w:r>
            <w:r w:rsidRPr="007927DB">
              <w:rPr>
                <w:rFonts w:ascii="Arial" w:hAnsi="Arial" w:cs="Arial"/>
              </w:rPr>
              <w:t xml:space="preserve"> Opakowanie a</w:t>
            </w:r>
            <w:r>
              <w:rPr>
                <w:rFonts w:ascii="Arial" w:hAnsi="Arial" w:cs="Arial"/>
              </w:rPr>
              <w:t>’</w:t>
            </w:r>
            <w:r w:rsidRPr="007927DB">
              <w:rPr>
                <w:rFonts w:ascii="Arial" w:hAnsi="Arial" w:cs="Arial"/>
              </w:rPr>
              <w:t xml:space="preserve">. 425g. ( </w:t>
            </w:r>
            <w:r w:rsidRPr="007927DB">
              <w:rPr>
                <w:rFonts w:ascii="Arial" w:hAnsi="Arial" w:cs="Arial"/>
                <w:b/>
                <w:bCs/>
              </w:rPr>
              <w:t>nie mleczko czyszczące</w:t>
            </w:r>
            <w:r w:rsidRPr="007927DB">
              <w:rPr>
                <w:rFonts w:ascii="Arial" w:hAnsi="Arial" w:cs="Arial"/>
              </w:rPr>
              <w:t>)np.</w:t>
            </w:r>
            <w:r w:rsidRPr="007927DB">
              <w:rPr>
                <w:rFonts w:ascii="Arial" w:hAnsi="Arial" w:cs="Arial"/>
                <w:b/>
                <w:bCs/>
              </w:rPr>
              <w:t xml:space="preserve"> TOLLA firmy BARLON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165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930773">
        <w:trPr>
          <w:trHeight w:val="2325"/>
        </w:trPr>
        <w:tc>
          <w:tcPr>
            <w:tcW w:w="56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</w:tcPr>
          <w:p w:rsidR="00E66E9D" w:rsidRPr="007927DB" w:rsidRDefault="00E66E9D" w:rsidP="00930773">
            <w:pPr>
              <w:rPr>
                <w:rFonts w:ascii="Arial" w:hAnsi="Arial" w:cs="Arial"/>
                <w:color w:val="000000"/>
              </w:rPr>
            </w:pPr>
            <w:r w:rsidRPr="007927DB">
              <w:rPr>
                <w:rFonts w:ascii="Arial" w:hAnsi="Arial" w:cs="Arial"/>
                <w:color w:val="000000"/>
              </w:rPr>
              <w:t xml:space="preserve">Środek czyszczący   </w:t>
            </w:r>
            <w:r w:rsidRPr="007927DB">
              <w:rPr>
                <w:rFonts w:ascii="Arial" w:hAnsi="Arial" w:cs="Arial"/>
                <w:b/>
                <w:bCs/>
                <w:color w:val="000000"/>
              </w:rPr>
              <w:t>EMSAL</w:t>
            </w:r>
            <w:r w:rsidRPr="007927DB">
              <w:rPr>
                <w:rFonts w:ascii="Arial" w:hAnsi="Arial" w:cs="Arial"/>
                <w:color w:val="000000"/>
              </w:rPr>
              <w:t xml:space="preserve">  do paneli. Doskonały preparat do wszystkich podłóg panelowych, z korka, jak również do niezabezpieczonych i naoliwionych podłóg drewnianych.  Ma impregnować wszystkie fugi, brzegi ,rogi i kanty, a także uszkodzenia powierzchni na podłogach panelowych. Dodatkowo ma zabezpieczać na długi czas powierzchnie podłóg panelowych  przed wnikaniem wilgoci w szczeliny ( źródłem wilgoci może być np. zmywanie na mokro, rozlany płyn, mokre buty). Płyn dokładnie ma czyścić podłogi, pozostawiając przyjemny zapach. Pojemność opakowania  1l. (Nie może być </w:t>
            </w:r>
            <w:proofErr w:type="spellStart"/>
            <w:r w:rsidRPr="007927DB">
              <w:rPr>
                <w:rFonts w:ascii="Arial" w:hAnsi="Arial" w:cs="Arial"/>
                <w:color w:val="000000"/>
              </w:rPr>
              <w:t>samopołyskowy</w:t>
            </w:r>
            <w:proofErr w:type="spellEnd"/>
            <w:r w:rsidRPr="007927DB">
              <w:rPr>
                <w:rFonts w:ascii="Arial" w:hAnsi="Arial" w:cs="Arial"/>
                <w:color w:val="000000"/>
              </w:rPr>
              <w:t xml:space="preserve"> środek do konserwacji paneli).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60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930773">
        <w:trPr>
          <w:trHeight w:val="1172"/>
        </w:trPr>
        <w:tc>
          <w:tcPr>
            <w:tcW w:w="567" w:type="dxa"/>
            <w:noWrap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  <w:r w:rsidRPr="007927DB">
              <w:rPr>
                <w:rFonts w:ascii="Arial" w:hAnsi="Arial" w:cs="Arial"/>
              </w:rPr>
              <w:t>Proszek do czyszczenia powierzchni porcelanowych, emaliowanych, garnków, patelni, zlewów i innych urządzeń sanitarnych. Nadający powierzchni połysk i pozostawiający przyjemny cytrynowy zapach. Zawartość opakowania 500 g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138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  <w:r w:rsidRPr="00792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</w:p>
        </w:tc>
      </w:tr>
      <w:tr w:rsidR="00E66E9D" w:rsidRPr="007927DB" w:rsidTr="00930773">
        <w:trPr>
          <w:trHeight w:val="411"/>
        </w:trPr>
        <w:tc>
          <w:tcPr>
            <w:tcW w:w="567" w:type="dxa"/>
            <w:noWrap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  <w:r w:rsidRPr="007927DB">
              <w:rPr>
                <w:rFonts w:ascii="Arial" w:hAnsi="Arial" w:cs="Arial"/>
              </w:rPr>
              <w:t xml:space="preserve">Uniwersalny </w:t>
            </w:r>
            <w:r w:rsidRPr="007927DB">
              <w:rPr>
                <w:rFonts w:ascii="Arial" w:hAnsi="Arial" w:cs="Arial"/>
                <w:b/>
                <w:bCs/>
              </w:rPr>
              <w:t xml:space="preserve">koncentrat </w:t>
            </w:r>
            <w:r w:rsidRPr="007927DB">
              <w:rPr>
                <w:rFonts w:ascii="Arial" w:hAnsi="Arial" w:cs="Arial"/>
              </w:rPr>
              <w:t xml:space="preserve">do czyszczenia wszystkich zmywalnych, wodoodpornych powierzchni w kuchni i łazienkach ; podłóg  z PCV, posadzek z lastrico, terakoty, glazury, kuchenek, umywalek, zlewozmywaków, stołów i parapetów, powierzchni szklanych, chromowanych, z tworzyw sztucznych. Skutecznie usuwający tłuszcz i inne zabrudzenia. </w:t>
            </w:r>
            <w:r w:rsidRPr="007927DB">
              <w:rPr>
                <w:rFonts w:ascii="Arial" w:hAnsi="Arial" w:cs="Arial"/>
                <w:b/>
                <w:bCs/>
              </w:rPr>
              <w:t xml:space="preserve">Ma nadawać się do czyszczenia przedmiotów stykających się z żywnością. </w:t>
            </w:r>
            <w:r w:rsidRPr="007927DB">
              <w:rPr>
                <w:rFonts w:ascii="Arial" w:hAnsi="Arial" w:cs="Arial"/>
              </w:rPr>
              <w:t>Nie pozostawia smug. Nadawać ma czyszczonym powierzchnią lekki połysk ,</w:t>
            </w:r>
            <w:r>
              <w:rPr>
                <w:rFonts w:ascii="Arial" w:hAnsi="Arial" w:cs="Arial"/>
              </w:rPr>
              <w:t xml:space="preserve"> pozostawiać przyjemny, owocowy</w:t>
            </w:r>
            <w:r w:rsidRPr="007927DB">
              <w:rPr>
                <w:rFonts w:ascii="Arial" w:hAnsi="Arial" w:cs="Arial"/>
              </w:rPr>
              <w:t xml:space="preserve">  , niedrażniący zapach, w kolor</w:t>
            </w:r>
            <w:r>
              <w:rPr>
                <w:rFonts w:ascii="Arial" w:hAnsi="Arial" w:cs="Arial"/>
              </w:rPr>
              <w:t>ze zielonym</w:t>
            </w:r>
            <w:r w:rsidRPr="007927DB">
              <w:rPr>
                <w:rFonts w:ascii="Arial" w:hAnsi="Arial" w:cs="Arial"/>
              </w:rPr>
              <w:t xml:space="preserve">  </w:t>
            </w:r>
            <w:proofErr w:type="spellStart"/>
            <w:r w:rsidRPr="007927DB">
              <w:rPr>
                <w:rFonts w:ascii="Arial" w:hAnsi="Arial" w:cs="Arial"/>
              </w:rPr>
              <w:t>pH</w:t>
            </w:r>
            <w:proofErr w:type="spellEnd"/>
            <w:r w:rsidRPr="007927DB">
              <w:rPr>
                <w:rFonts w:ascii="Arial" w:hAnsi="Arial" w:cs="Arial"/>
              </w:rPr>
              <w:t xml:space="preserve"> 1% roztworu ok 9 , gęstość w 20 stopniach C 1,01 +- 0,01 g/cm3 opakowania o poj. 5  </w:t>
            </w:r>
            <w:proofErr w:type="spellStart"/>
            <w:r w:rsidRPr="007927DB">
              <w:rPr>
                <w:rFonts w:ascii="Arial" w:hAnsi="Arial" w:cs="Arial"/>
              </w:rPr>
              <w:t>lnp.Fimy</w:t>
            </w:r>
            <w:proofErr w:type="spellEnd"/>
            <w:r w:rsidRPr="007927DB">
              <w:rPr>
                <w:rFonts w:ascii="Arial" w:hAnsi="Arial" w:cs="Arial"/>
              </w:rPr>
              <w:t xml:space="preserve"> </w:t>
            </w:r>
            <w:r w:rsidRPr="007927DB">
              <w:rPr>
                <w:rFonts w:ascii="Arial" w:hAnsi="Arial" w:cs="Arial"/>
                <w:b/>
                <w:bCs/>
              </w:rPr>
              <w:t>BARLON UNIWERSAL</w:t>
            </w:r>
          </w:p>
          <w:p w:rsidR="00E66E9D" w:rsidRPr="007927DB" w:rsidRDefault="00E66E9D" w:rsidP="009307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220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</w:p>
        </w:tc>
      </w:tr>
      <w:tr w:rsidR="00E66E9D" w:rsidRPr="007927DB" w:rsidTr="00930773">
        <w:trPr>
          <w:trHeight w:val="411"/>
        </w:trPr>
        <w:tc>
          <w:tcPr>
            <w:tcW w:w="567" w:type="dxa"/>
            <w:noWrap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15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  <w:r w:rsidRPr="007927DB">
              <w:rPr>
                <w:rFonts w:ascii="Arial" w:hAnsi="Arial" w:cs="Arial"/>
              </w:rPr>
              <w:t xml:space="preserve">Środek na bazie polimerów do zabezpieczania i nabłyszczania różnych typów podłóg, np. gumolitowych, linoleum, z PCV, lastrico, </w:t>
            </w:r>
            <w:proofErr w:type="spellStart"/>
            <w:r w:rsidRPr="007927DB">
              <w:rPr>
                <w:rFonts w:ascii="Arial" w:hAnsi="Arial" w:cs="Arial"/>
              </w:rPr>
              <w:t>tarkettu</w:t>
            </w:r>
            <w:proofErr w:type="spellEnd"/>
            <w:r w:rsidRPr="007927DB">
              <w:rPr>
                <w:rFonts w:ascii="Arial" w:hAnsi="Arial" w:cs="Arial"/>
              </w:rPr>
              <w:t xml:space="preserve">, powierzchni marmurowych, parkietów, lakierowanych drewnianych. Polecany do powierzchni o intensywnym użytkowaniu jak ciągi komunikacyjne w miejscach publicznych </w:t>
            </w:r>
            <w:proofErr w:type="spellStart"/>
            <w:r w:rsidRPr="007927DB">
              <w:rPr>
                <w:rFonts w:ascii="Arial" w:hAnsi="Arial" w:cs="Arial"/>
              </w:rPr>
              <w:t>itp.</w:t>
            </w:r>
            <w:r w:rsidRPr="007927DB">
              <w:rPr>
                <w:rFonts w:ascii="Arial" w:eastAsia="Tahoma" w:hAnsi="Arial" w:cs="Arial"/>
              </w:rPr>
              <w:t>Tworzy</w:t>
            </w:r>
            <w:proofErr w:type="spellEnd"/>
            <w:r w:rsidRPr="007927DB">
              <w:rPr>
                <w:rFonts w:ascii="Arial" w:eastAsia="Tahoma" w:hAnsi="Arial" w:cs="Arial"/>
              </w:rPr>
              <w:t xml:space="preserve"> trwałą, błyszczącą powłokę odporną na ścieranie, środki dezynfekujące. Zachowuje połysk przez długi czas. Nie powoduje poślizgu. Nadaje połysk bez polerowania. </w:t>
            </w:r>
            <w:proofErr w:type="spellStart"/>
            <w:r w:rsidRPr="007927DB">
              <w:rPr>
                <w:rFonts w:ascii="Arial" w:eastAsia="Tahoma" w:hAnsi="Arial" w:cs="Arial"/>
              </w:rPr>
              <w:t>Floorex</w:t>
            </w:r>
            <w:proofErr w:type="spellEnd"/>
            <w:r w:rsidRPr="007927DB">
              <w:rPr>
                <w:rFonts w:ascii="Arial" w:eastAsia="Tahoma" w:hAnsi="Arial" w:cs="Arial"/>
              </w:rPr>
              <w:t xml:space="preserve"> Błysk PLUS firmy </w:t>
            </w:r>
            <w:proofErr w:type="spellStart"/>
            <w:r w:rsidRPr="007927DB">
              <w:rPr>
                <w:rFonts w:ascii="Arial" w:eastAsia="Tahoma" w:hAnsi="Arial" w:cs="Arial"/>
              </w:rPr>
              <w:t>Barlon</w:t>
            </w:r>
            <w:proofErr w:type="spellEnd"/>
            <w:r w:rsidRPr="007927DB">
              <w:rPr>
                <w:rFonts w:ascii="Arial" w:eastAsia="Tahoma" w:hAnsi="Arial" w:cs="Arial"/>
              </w:rPr>
              <w:t>. Op. a’5 l</w:t>
            </w:r>
            <w:r w:rsidRPr="007927DB">
              <w:rPr>
                <w:rFonts w:ascii="Arial" w:hAnsi="Arial" w:cs="Arial"/>
              </w:rPr>
              <w:t xml:space="preserve"> </w:t>
            </w:r>
            <w:r w:rsidRPr="007927DB">
              <w:rPr>
                <w:rFonts w:ascii="Arial" w:eastAsia="Tahoma" w:hAnsi="Arial" w:cs="Arial"/>
              </w:rPr>
              <w:t>Preparat profesjonalny.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3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411"/>
        </w:trPr>
        <w:tc>
          <w:tcPr>
            <w:tcW w:w="567" w:type="dxa"/>
            <w:noWrap/>
          </w:tcPr>
          <w:p w:rsidR="00E66E9D" w:rsidRPr="007927DB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Pr="007927D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946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  <w:r w:rsidRPr="007927DB">
              <w:rPr>
                <w:rFonts w:ascii="Arial" w:hAnsi="Arial" w:cs="Arial"/>
              </w:rPr>
              <w:t>Odświeżacz powietrza zapa</w:t>
            </w:r>
            <w:r w:rsidR="00064D9C">
              <w:rPr>
                <w:rFonts w:ascii="Arial" w:hAnsi="Arial" w:cs="Arial"/>
              </w:rPr>
              <w:t xml:space="preserve">s do AMBI PUR 20 ml o zapachach: </w:t>
            </w:r>
            <w:proofErr w:type="spellStart"/>
            <w:r w:rsidRPr="007927DB">
              <w:rPr>
                <w:rFonts w:ascii="Arial" w:hAnsi="Arial" w:cs="Arial"/>
              </w:rPr>
              <w:t>April</w:t>
            </w:r>
            <w:proofErr w:type="spellEnd"/>
            <w:r w:rsidRPr="007927DB">
              <w:rPr>
                <w:rFonts w:ascii="Arial" w:hAnsi="Arial" w:cs="Arial"/>
              </w:rPr>
              <w:t xml:space="preserve"> Spring </w:t>
            </w:r>
            <w:proofErr w:type="spellStart"/>
            <w:r w:rsidRPr="007927DB">
              <w:rPr>
                <w:rFonts w:ascii="Arial" w:hAnsi="Arial" w:cs="Arial"/>
              </w:rPr>
              <w:t>Breeze</w:t>
            </w:r>
            <w:proofErr w:type="spellEnd"/>
            <w:r w:rsidRPr="007927DB">
              <w:rPr>
                <w:rFonts w:ascii="Arial" w:hAnsi="Arial" w:cs="Arial"/>
              </w:rPr>
              <w:t xml:space="preserve">, Japan Tatami, </w:t>
            </w:r>
            <w:proofErr w:type="spellStart"/>
            <w:r w:rsidRPr="007927DB">
              <w:rPr>
                <w:rFonts w:ascii="Arial" w:hAnsi="Arial" w:cs="Arial"/>
              </w:rPr>
              <w:t>Aqua</w:t>
            </w:r>
            <w:proofErr w:type="spellEnd"/>
            <w:r w:rsidRPr="007927DB">
              <w:rPr>
                <w:rFonts w:ascii="Arial" w:hAnsi="Arial" w:cs="Arial"/>
              </w:rPr>
              <w:t xml:space="preserve"> Ocean And Wind, </w:t>
            </w:r>
          </w:p>
        </w:tc>
        <w:tc>
          <w:tcPr>
            <w:tcW w:w="1276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6E9D" w:rsidRPr="007927DB" w:rsidTr="00930773">
        <w:trPr>
          <w:trHeight w:val="411"/>
        </w:trPr>
        <w:tc>
          <w:tcPr>
            <w:tcW w:w="567" w:type="dxa"/>
            <w:noWrap/>
          </w:tcPr>
          <w:p w:rsidR="00E66E9D" w:rsidRDefault="00E66E9D" w:rsidP="0093077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6946" w:type="dxa"/>
          </w:tcPr>
          <w:p w:rsidR="00E66E9D" w:rsidRPr="007927DB" w:rsidRDefault="00E66E9D" w:rsidP="00930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Kostka do WC OXY Kolorado z koszyczkiem różne zapachy waga 40 g</w:t>
            </w:r>
          </w:p>
        </w:tc>
        <w:tc>
          <w:tcPr>
            <w:tcW w:w="1276" w:type="dxa"/>
          </w:tcPr>
          <w:p w:rsidR="00E66E9D" w:rsidRPr="00D61DBF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66E9D" w:rsidRPr="00D61DBF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</w:tcPr>
          <w:p w:rsidR="00E66E9D" w:rsidRDefault="00E66E9D" w:rsidP="009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470  </w:t>
            </w:r>
          </w:p>
        </w:tc>
        <w:tc>
          <w:tcPr>
            <w:tcW w:w="1417" w:type="dxa"/>
            <w:noWrap/>
          </w:tcPr>
          <w:p w:rsidR="00E66E9D" w:rsidRPr="007927DB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66E9D" w:rsidRPr="00D61DBF" w:rsidRDefault="00E66E9D" w:rsidP="0093077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0773" w:rsidTr="009307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624" w:type="dxa"/>
          <w:trHeight w:val="813"/>
        </w:trPr>
        <w:tc>
          <w:tcPr>
            <w:tcW w:w="1423" w:type="dxa"/>
            <w:gridSpan w:val="2"/>
          </w:tcPr>
          <w:p w:rsidR="00930773" w:rsidRPr="00930773" w:rsidRDefault="00930773" w:rsidP="00930773">
            <w:pPr>
              <w:jc w:val="center"/>
              <w:rPr>
                <w:rFonts w:ascii="Arial" w:hAnsi="Arial" w:cs="Arial"/>
                <w:b/>
              </w:rPr>
            </w:pPr>
            <w:r w:rsidRPr="00930773">
              <w:rPr>
                <w:rFonts w:ascii="Arial" w:hAnsi="Arial" w:cs="Arial"/>
                <w:b/>
              </w:rPr>
              <w:t>Razem brutto:</w:t>
            </w:r>
          </w:p>
          <w:p w:rsidR="00930773" w:rsidRPr="00930773" w:rsidRDefault="00930773" w:rsidP="00930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930773" w:rsidRDefault="00930773" w:rsidP="009307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1FB2" w:rsidRPr="007927DB" w:rsidRDefault="004C1FB2">
      <w:pPr>
        <w:rPr>
          <w:rFonts w:ascii="Arial" w:hAnsi="Arial" w:cs="Arial"/>
        </w:rPr>
      </w:pPr>
    </w:p>
    <w:sectPr w:rsidR="004C1FB2" w:rsidRPr="007927DB" w:rsidSect="00E66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10" w:rsidRDefault="00402110" w:rsidP="00D61DBF">
      <w:pPr>
        <w:spacing w:after="0" w:line="240" w:lineRule="auto"/>
      </w:pPr>
      <w:r>
        <w:separator/>
      </w:r>
    </w:p>
  </w:endnote>
  <w:endnote w:type="continuationSeparator" w:id="0">
    <w:p w:rsidR="00402110" w:rsidRDefault="00402110" w:rsidP="00D6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7" w:rsidRDefault="00F87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7" w:rsidRDefault="00F877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7" w:rsidRDefault="00F87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10" w:rsidRDefault="00402110" w:rsidP="00D61DBF">
      <w:pPr>
        <w:spacing w:after="0" w:line="240" w:lineRule="auto"/>
      </w:pPr>
      <w:r>
        <w:separator/>
      </w:r>
    </w:p>
  </w:footnote>
  <w:footnote w:type="continuationSeparator" w:id="0">
    <w:p w:rsidR="00402110" w:rsidRDefault="00402110" w:rsidP="00D6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7" w:rsidRDefault="00F87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064D9C" w:rsidRDefault="00F87747">
    <w:pPr>
      <w:pStyle w:val="Nagwek"/>
      <w:rPr>
        <w:b/>
      </w:rPr>
    </w:pPr>
    <w:r>
      <w:rPr>
        <w:b/>
      </w:rPr>
      <w:t xml:space="preserve">Załącznik nr 1 - </w:t>
    </w:r>
    <w:r w:rsidR="00D61DBF" w:rsidRPr="00064D9C">
      <w:rPr>
        <w:b/>
      </w:rPr>
      <w:t>Z</w:t>
    </w:r>
    <w:r w:rsidR="00E66E9D" w:rsidRPr="00064D9C">
      <w:rPr>
        <w:b/>
      </w:rPr>
      <w:t xml:space="preserve">adanie nr </w:t>
    </w:r>
    <w:r w:rsidR="00D61DBF" w:rsidRPr="00064D9C">
      <w:rPr>
        <w:b/>
      </w:rPr>
      <w:t xml:space="preserve"> </w:t>
    </w:r>
    <w:r w:rsidR="00D61DBF" w:rsidRPr="00064D9C">
      <w:rPr>
        <w:b/>
      </w:rPr>
      <w:t>1</w:t>
    </w:r>
    <w:bookmarkStart w:id="0" w:name="_GoBack"/>
    <w:bookmarkEnd w:id="0"/>
    <w:r w:rsidR="007C4F17" w:rsidRPr="00064D9C">
      <w:rPr>
        <w:b/>
      </w:rPr>
      <w:t xml:space="preserve"> Środki chemiczne do sprzątania</w:t>
    </w:r>
    <w:r w:rsidR="00E66E9D" w:rsidRPr="00064D9C">
      <w:rPr>
        <w:b/>
      </w:rPr>
      <w:t xml:space="preserve">                      </w:t>
    </w:r>
    <w:r>
      <w:rPr>
        <w:b/>
      </w:rPr>
      <w:t xml:space="preserve"> </w:t>
    </w:r>
    <w:r w:rsidR="00064D9C">
      <w:rPr>
        <w:b/>
      </w:rPr>
      <w:t xml:space="preserve">                        </w:t>
    </w:r>
    <w:r w:rsidR="00064D9C" w:rsidRPr="00064D9C">
      <w:rPr>
        <w:b/>
      </w:rPr>
      <w:t xml:space="preserve">                                                            </w:t>
    </w:r>
    <w:r w:rsidR="00E66E9D" w:rsidRPr="00064D9C">
      <w:rPr>
        <w:b/>
      </w:rPr>
      <w:t xml:space="preserve">    Nr postępowania: ZP/279/2018</w:t>
    </w:r>
  </w:p>
  <w:p w:rsidR="009042CA" w:rsidRDefault="009042CA">
    <w:pPr>
      <w:pStyle w:val="Nagwek"/>
    </w:pPr>
  </w:p>
  <w:p w:rsidR="009042CA" w:rsidRDefault="009042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7" w:rsidRDefault="00F877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02"/>
    <w:rsid w:val="0002127E"/>
    <w:rsid w:val="00047D96"/>
    <w:rsid w:val="00064D9C"/>
    <w:rsid w:val="000661A2"/>
    <w:rsid w:val="00090812"/>
    <w:rsid w:val="001A040E"/>
    <w:rsid w:val="001A17C7"/>
    <w:rsid w:val="001E568C"/>
    <w:rsid w:val="00271445"/>
    <w:rsid w:val="00286769"/>
    <w:rsid w:val="002F3E7E"/>
    <w:rsid w:val="003F3719"/>
    <w:rsid w:val="00402110"/>
    <w:rsid w:val="00424DFD"/>
    <w:rsid w:val="00477106"/>
    <w:rsid w:val="004A2D0A"/>
    <w:rsid w:val="004C1FB2"/>
    <w:rsid w:val="004D3536"/>
    <w:rsid w:val="004E316F"/>
    <w:rsid w:val="004F2A73"/>
    <w:rsid w:val="00505D89"/>
    <w:rsid w:val="00545ABD"/>
    <w:rsid w:val="00584EEF"/>
    <w:rsid w:val="005B642B"/>
    <w:rsid w:val="005D69D9"/>
    <w:rsid w:val="00660E45"/>
    <w:rsid w:val="00686516"/>
    <w:rsid w:val="006B071A"/>
    <w:rsid w:val="006C7DC1"/>
    <w:rsid w:val="006D1699"/>
    <w:rsid w:val="006D638A"/>
    <w:rsid w:val="00746321"/>
    <w:rsid w:val="007642C1"/>
    <w:rsid w:val="0078125F"/>
    <w:rsid w:val="007927DB"/>
    <w:rsid w:val="007C4F17"/>
    <w:rsid w:val="007E7477"/>
    <w:rsid w:val="00812407"/>
    <w:rsid w:val="008A29F9"/>
    <w:rsid w:val="009042CA"/>
    <w:rsid w:val="009206F1"/>
    <w:rsid w:val="00930773"/>
    <w:rsid w:val="00971CC7"/>
    <w:rsid w:val="009801B9"/>
    <w:rsid w:val="009D5589"/>
    <w:rsid w:val="00A7651D"/>
    <w:rsid w:val="00AB36B8"/>
    <w:rsid w:val="00AD244A"/>
    <w:rsid w:val="00BE0670"/>
    <w:rsid w:val="00C05458"/>
    <w:rsid w:val="00C06C3E"/>
    <w:rsid w:val="00C74CC8"/>
    <w:rsid w:val="00CC240B"/>
    <w:rsid w:val="00CF1069"/>
    <w:rsid w:val="00CF2B6D"/>
    <w:rsid w:val="00D44796"/>
    <w:rsid w:val="00D47606"/>
    <w:rsid w:val="00D61DBF"/>
    <w:rsid w:val="00DC0EF2"/>
    <w:rsid w:val="00DD4D21"/>
    <w:rsid w:val="00E66E9D"/>
    <w:rsid w:val="00EA0702"/>
    <w:rsid w:val="00EA708F"/>
    <w:rsid w:val="00EF5DC4"/>
    <w:rsid w:val="00F65B4D"/>
    <w:rsid w:val="00F87747"/>
    <w:rsid w:val="00F967DA"/>
    <w:rsid w:val="00FA7E03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DBF"/>
  </w:style>
  <w:style w:type="paragraph" w:styleId="Stopka">
    <w:name w:val="footer"/>
    <w:basedOn w:val="Normalny"/>
    <w:link w:val="StopkaZnak"/>
    <w:uiPriority w:val="99"/>
    <w:unhideWhenUsed/>
    <w:rsid w:val="00D6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BF"/>
  </w:style>
  <w:style w:type="character" w:customStyle="1" w:styleId="Nagwek1Znak">
    <w:name w:val="Nagłówek 1 Znak"/>
    <w:basedOn w:val="Domylnaczcionkaakapitu"/>
    <w:link w:val="Nagwek1"/>
    <w:uiPriority w:val="9"/>
    <w:rsid w:val="006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5A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DBF"/>
  </w:style>
  <w:style w:type="paragraph" w:styleId="Stopka">
    <w:name w:val="footer"/>
    <w:basedOn w:val="Normalny"/>
    <w:link w:val="StopkaZnak"/>
    <w:uiPriority w:val="99"/>
    <w:unhideWhenUsed/>
    <w:rsid w:val="00D6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BF"/>
  </w:style>
  <w:style w:type="character" w:customStyle="1" w:styleId="Nagwek1Znak">
    <w:name w:val="Nagłówek 1 Znak"/>
    <w:basedOn w:val="Domylnaczcionkaakapitu"/>
    <w:link w:val="Nagwek1"/>
    <w:uiPriority w:val="9"/>
    <w:rsid w:val="006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5A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2B65-5B1F-4D46-A120-4B8BEF13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44</cp:revision>
  <cp:lastPrinted>2018-03-20T11:50:00Z</cp:lastPrinted>
  <dcterms:created xsi:type="dcterms:W3CDTF">2015-03-18T13:18:00Z</dcterms:created>
  <dcterms:modified xsi:type="dcterms:W3CDTF">2018-03-27T08:43:00Z</dcterms:modified>
</cp:coreProperties>
</file>