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5BF7EC5D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233649" w:rsidRPr="0023364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kalorymetru skaningowego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668A0924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23364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50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6D5A6928" w14:textId="2D66B243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48A99930" w14:textId="2BE7E027" w:rsidR="00ED2852" w:rsidRDefault="00ED2852" w:rsidP="00ED2852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798F13CD" w14:textId="77777777" w:rsidR="00ED2852" w:rsidRDefault="00ED2852" w:rsidP="003C64E3">
      <w:pPr>
        <w:spacing w:line="240" w:lineRule="auto"/>
        <w:ind w:left="0" w:firstLine="0"/>
        <w:jc w:val="right"/>
        <w:rPr>
          <w:rFonts w:eastAsia="Calibri" w:cs="Arial"/>
          <w:color w:val="222A35"/>
          <w:szCs w:val="20"/>
          <w:lang w:eastAsia="pl-PL"/>
        </w:rPr>
      </w:pPr>
    </w:p>
    <w:p w14:paraId="2CECFA6A" w14:textId="4124D255" w:rsidR="00ED2852" w:rsidRPr="003C64E3" w:rsidRDefault="00ED2852" w:rsidP="003C64E3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>
        <w:rPr>
          <w:rFonts w:eastAsia="Calibri" w:cs="Arial"/>
          <w:color w:val="222A35"/>
          <w:szCs w:val="20"/>
          <w:lang w:eastAsia="pl-PL"/>
        </w:rPr>
        <w:t xml:space="preserve">                                                                             </w:t>
      </w:r>
      <w:r w:rsidRPr="003C64E3">
        <w:rPr>
          <w:rFonts w:eastAsia="Calibri" w:cs="Arial"/>
          <w:b/>
          <w:szCs w:val="20"/>
          <w:lang w:eastAsia="pl-PL"/>
        </w:rPr>
        <w:t>Zatwierdzam:</w:t>
      </w:r>
    </w:p>
    <w:p w14:paraId="70CAAB8C" w14:textId="77777777" w:rsidR="003C64E3" w:rsidRPr="003C64E3" w:rsidRDefault="003C64E3" w:rsidP="003C64E3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3C64E3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2A240203" w14:textId="77777777" w:rsidR="003C64E3" w:rsidRPr="003C64E3" w:rsidRDefault="003C64E3" w:rsidP="003C64E3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3C64E3">
        <w:rPr>
          <w:rFonts w:eastAsia="Calibri" w:cs="Arial"/>
          <w:b/>
          <w:szCs w:val="20"/>
          <w:lang w:eastAsia="pl-PL"/>
        </w:rPr>
        <w:t>Z-ca Kanclerza ds. Inwestycji</w:t>
      </w:r>
    </w:p>
    <w:p w14:paraId="426DF326" w14:textId="77777777" w:rsidR="003C64E3" w:rsidRPr="003C64E3" w:rsidRDefault="003C64E3" w:rsidP="003C64E3">
      <w:pPr>
        <w:ind w:left="0" w:firstLine="0"/>
        <w:jc w:val="right"/>
        <w:rPr>
          <w:rFonts w:eastAsia="Calibri" w:cs="Arial"/>
          <w:szCs w:val="20"/>
          <w:lang w:eastAsia="pl-PL"/>
        </w:rPr>
      </w:pPr>
      <w:r w:rsidRPr="003C64E3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0F15CC47" w14:textId="77777777" w:rsidR="003C64E3" w:rsidRDefault="003C64E3" w:rsidP="003C64E3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4FB60FD" w14:textId="6FD39F96" w:rsidR="007166B4" w:rsidRDefault="007166B4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49E280B" w14:textId="6272ECDC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DF59CF8" w14:textId="0293C943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A9CC9DB" w14:textId="6BF8D171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387C8C6" w14:textId="4B2E1CFC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31ACD35" w14:textId="763F460A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46EDB06" w14:textId="5BD57CE0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824756B" w14:textId="19B94DC2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4E8D4AE" w14:textId="233402CF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D5C92BF" w14:textId="0376712C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1E058E8" w14:textId="46BFB7C3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3F99ADE" w14:textId="59B7071F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D990D3F" w14:textId="539E13AF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2660CB1" w14:textId="5001E6A0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3F95992" w14:textId="3FEE20E3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D707F34" w14:textId="4FCCC675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DE644CD" w14:textId="77777777" w:rsidR="003C64E3" w:rsidRDefault="003C64E3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C2851E0" w14:textId="77777777" w:rsidR="007166B4" w:rsidRDefault="007166B4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971F466" w14:textId="77777777" w:rsidR="00ED2852" w:rsidRDefault="00ED2852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42E6995" w:rsidR="00F85C46" w:rsidRPr="00ED1083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F37AF3">
        <w:rPr>
          <w:rFonts w:eastAsia="Calibri" w:cs="Arial"/>
          <w:szCs w:val="20"/>
          <w:lang w:eastAsia="pl-PL"/>
        </w:rPr>
        <w:t>czerwiec</w:t>
      </w:r>
      <w:r w:rsidR="00982B66" w:rsidRPr="00ED1083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54AB36BD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5345FE8C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6C4C4D3D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7691FCE8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2664AA22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2CD99F9D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689F91F9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68F851B0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161143B4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55BB72D0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09009DB7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7AD4071E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5E12E40B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49E7AAAE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7405723E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36E052B1" w:rsidR="000C5435" w:rsidRPr="000C5435" w:rsidRDefault="009F37C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BB4502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959D126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02D85D85" w:rsidR="0026325C" w:rsidRPr="00CA318B" w:rsidRDefault="0068625C" w:rsidP="0068625C">
      <w:pPr>
        <w:tabs>
          <w:tab w:val="left" w:pos="284"/>
          <w:tab w:val="left" w:pos="7380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22415C31" w14:textId="46D9A79F" w:rsidR="00F85C46" w:rsidRPr="005B5BDF" w:rsidRDefault="00F85C46" w:rsidP="00ED1083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1DADB065" w:rsidR="00F85C46" w:rsidRPr="00F34343" w:rsidRDefault="009F5C6B" w:rsidP="00FB4B10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2190BC5F" w14:textId="77777777" w:rsidR="00FB4B10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</w:p>
    <w:p w14:paraId="5E1E746F" w14:textId="0ED1CC21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6F662DBD" w14:textId="77777777" w:rsidR="00FB4B10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 xml:space="preserve">, </w:t>
      </w:r>
    </w:p>
    <w:p w14:paraId="74F8A23E" w14:textId="48974CB2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FB4B10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6" w:name="_Hlk146268019"/>
      <w:r w:rsidR="004B08EE" w:rsidRPr="004B08EE">
        <w:rPr>
          <w:lang w:eastAsia="pl-PL"/>
        </w:rPr>
        <w:t>Dz.U. 2023 poz. 1605</w:t>
      </w:r>
      <w:bookmarkEnd w:id="6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FB4B10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0CF0D84D" w:rsidR="000E5D19" w:rsidRPr="00F37AF3" w:rsidRDefault="00F85C46" w:rsidP="00F37AF3">
      <w:pPr>
        <w:pStyle w:val="Nagwek3"/>
        <w:numPr>
          <w:ilvl w:val="0"/>
          <w:numId w:val="37"/>
        </w:numPr>
        <w:ind w:left="568" w:hanging="284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>„</w:t>
      </w:r>
      <w:r w:rsidR="00233649" w:rsidRPr="00233649">
        <w:rPr>
          <w:rFonts w:eastAsia="Calibri"/>
          <w:b/>
        </w:rPr>
        <w:t>Dostawa kalorymetru skaningowego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27E5F126" w14:textId="0DCECB5E" w:rsidR="00FC4A04" w:rsidRPr="00E71C6D" w:rsidRDefault="00F85C46" w:rsidP="002A3576">
      <w:pPr>
        <w:pStyle w:val="Nagwek3"/>
        <w:widowControl w:val="0"/>
        <w:numPr>
          <w:ilvl w:val="0"/>
          <w:numId w:val="37"/>
        </w:numPr>
        <w:spacing w:after="240"/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233649">
        <w:rPr>
          <w:b/>
        </w:rPr>
        <w:t>50</w:t>
      </w:r>
      <w:r w:rsidR="00204EFA" w:rsidRPr="00204EFA">
        <w:rPr>
          <w:b/>
        </w:rPr>
        <w:t>.202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40AB1996" w14:textId="1C6752D2" w:rsidR="00F85C46" w:rsidRPr="005B5BDF" w:rsidRDefault="00F85C46" w:rsidP="00ED1083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99351179"/>
      <w:r w:rsidRPr="005B5BDF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Pr="00F34343" w:rsidRDefault="00F85C46" w:rsidP="00FB4B10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27226386" w:rsidR="00CD4EBF" w:rsidRPr="00CD4EBF" w:rsidRDefault="004C589D" w:rsidP="00FB4B10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DC6A57" w:rsidRPr="00DC6A57">
        <w:rPr>
          <w:rFonts w:cs="Arial"/>
          <w:b/>
          <w:bCs/>
          <w:szCs w:val="20"/>
          <w:lang w:eastAsia="pl-PL"/>
        </w:rPr>
        <w:t>kalorymetru skaningowego</w:t>
      </w:r>
      <w:r w:rsidR="00DC6A57">
        <w:rPr>
          <w:rFonts w:cs="Arial"/>
          <w:b/>
          <w:bCs/>
          <w:szCs w:val="20"/>
          <w:lang w:eastAsia="pl-PL"/>
        </w:rPr>
        <w:t>- 1 szt.</w:t>
      </w:r>
      <w:r w:rsidR="00365EA2" w:rsidRPr="00FB4B10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DC6A57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w załączniku nr 2 do SWZ,  zwan</w:t>
      </w:r>
      <w:r w:rsidR="00DC6A57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365EA2">
        <w:rPr>
          <w:rFonts w:cs="Arial"/>
          <w:bCs/>
          <w:szCs w:val="20"/>
          <w:lang w:eastAsia="pl-PL"/>
        </w:rPr>
        <w:t>urządzeni</w:t>
      </w:r>
      <w:r w:rsidR="00DC6A57">
        <w:rPr>
          <w:rFonts w:cs="Arial"/>
          <w:bCs/>
          <w:szCs w:val="20"/>
          <w:lang w:eastAsia="pl-PL"/>
        </w:rPr>
        <w:t>em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2675B336" w:rsidR="00365EA2" w:rsidRDefault="00365EA2" w:rsidP="00FB4B10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Oferowane urządzeni</w:t>
      </w:r>
      <w:r w:rsidR="00DC6A57">
        <w:rPr>
          <w:rFonts w:cs="Arial"/>
          <w:bCs/>
          <w:szCs w:val="20"/>
          <w:lang w:eastAsia="pl-PL"/>
        </w:rPr>
        <w:t>e</w:t>
      </w:r>
      <w:r w:rsidRPr="00365EA2">
        <w:rPr>
          <w:rFonts w:cs="Arial"/>
          <w:bCs/>
          <w:szCs w:val="20"/>
          <w:lang w:eastAsia="pl-PL"/>
        </w:rPr>
        <w:t xml:space="preserve"> mus</w:t>
      </w:r>
      <w:r w:rsidR="00DC6A57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fabrycznie nowe, nieużywane, pochodzić z bieżącej produkcji 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0B3CCCA9" w14:textId="5E662ED9" w:rsidR="00DC6A57" w:rsidRPr="00DC6A57" w:rsidRDefault="00C34522" w:rsidP="00DC6A57">
      <w:pPr>
        <w:pStyle w:val="Akapitzlist"/>
        <w:numPr>
          <w:ilvl w:val="0"/>
          <w:numId w:val="56"/>
        </w:numPr>
        <w:ind w:left="567" w:hanging="283"/>
        <w:rPr>
          <w:rFonts w:cs="Arial"/>
          <w:bCs/>
          <w:szCs w:val="20"/>
          <w:lang w:eastAsia="pl-PL"/>
        </w:rPr>
      </w:pPr>
      <w:r w:rsidRPr="00DC6A57">
        <w:rPr>
          <w:rFonts w:cs="Arial"/>
          <w:b/>
          <w:bCs/>
          <w:szCs w:val="20"/>
          <w:lang w:eastAsia="pl-PL"/>
        </w:rPr>
        <w:t>Zakres zamówienia obejmuje</w:t>
      </w:r>
      <w:r w:rsidRPr="00C34522">
        <w:rPr>
          <w:rFonts w:cs="Arial"/>
          <w:bCs/>
          <w:szCs w:val="20"/>
          <w:lang w:eastAsia="pl-PL"/>
        </w:rPr>
        <w:t>: dostarczenie urządze</w:t>
      </w:r>
      <w:r w:rsidR="00DC6A57">
        <w:rPr>
          <w:rFonts w:cs="Arial"/>
          <w:bCs/>
          <w:szCs w:val="20"/>
          <w:lang w:eastAsia="pl-PL"/>
        </w:rPr>
        <w:t>nia</w:t>
      </w:r>
      <w:r w:rsidRPr="00C34522">
        <w:rPr>
          <w:rFonts w:cs="Arial"/>
          <w:bCs/>
          <w:szCs w:val="20"/>
          <w:lang w:eastAsia="pl-PL"/>
        </w:rPr>
        <w:t xml:space="preserve"> wraz z rozładunkiem i wniesieniem do miejsca wskazanego przez Zamawiającego</w:t>
      </w:r>
      <w:r w:rsidR="00DC6A57">
        <w:rPr>
          <w:rFonts w:cs="Arial"/>
          <w:bCs/>
          <w:szCs w:val="20"/>
          <w:lang w:eastAsia="pl-PL"/>
        </w:rPr>
        <w:t>,</w:t>
      </w:r>
      <w:r w:rsidRPr="00C34522">
        <w:rPr>
          <w:rFonts w:cs="Arial"/>
          <w:bCs/>
          <w:szCs w:val="20"/>
          <w:lang w:eastAsia="pl-PL"/>
        </w:rPr>
        <w:t xml:space="preserve"> </w:t>
      </w:r>
      <w:r w:rsidR="00DC6A57" w:rsidRPr="00DC6A57">
        <w:rPr>
          <w:rFonts w:cs="Arial"/>
          <w:bCs/>
          <w:szCs w:val="20"/>
          <w:lang w:eastAsia="pl-PL"/>
        </w:rPr>
        <w:t xml:space="preserve">a także </w:t>
      </w:r>
      <w:bookmarkStart w:id="11" w:name="_Hlk138681184"/>
      <w:r w:rsidR="00DC6A57" w:rsidRPr="00DC6A57">
        <w:rPr>
          <w:rFonts w:cs="Arial"/>
          <w:bCs/>
          <w:szCs w:val="20"/>
          <w:lang w:eastAsia="pl-PL"/>
        </w:rPr>
        <w:t>instalację urządzenia oraz szkolenie pracowników Zamawiającego z teorii, użytkowania i obsługi urządzenia (Wykonawca przeszkoli m</w:t>
      </w:r>
      <w:r w:rsidR="00110DED">
        <w:rPr>
          <w:rFonts w:cs="Arial"/>
          <w:bCs/>
          <w:szCs w:val="20"/>
          <w:lang w:eastAsia="pl-PL"/>
        </w:rPr>
        <w:t>in</w:t>
      </w:r>
      <w:r w:rsidR="00DC6A57" w:rsidRPr="00DC6A57">
        <w:rPr>
          <w:rFonts w:cs="Arial"/>
          <w:bCs/>
          <w:szCs w:val="20"/>
          <w:lang w:eastAsia="pl-PL"/>
        </w:rPr>
        <w:t xml:space="preserve">. </w:t>
      </w:r>
      <w:r w:rsidR="00DC6A57">
        <w:rPr>
          <w:rFonts w:cs="Arial"/>
          <w:bCs/>
          <w:szCs w:val="20"/>
          <w:lang w:eastAsia="pl-PL"/>
        </w:rPr>
        <w:t>3</w:t>
      </w:r>
      <w:r w:rsidR="00DC6A57" w:rsidRPr="00DC6A57">
        <w:rPr>
          <w:rFonts w:cs="Arial"/>
          <w:bCs/>
          <w:szCs w:val="20"/>
          <w:lang w:eastAsia="pl-PL"/>
        </w:rPr>
        <w:t xml:space="preserve"> os</w:t>
      </w:r>
      <w:r w:rsidR="00DC6A57">
        <w:rPr>
          <w:rFonts w:cs="Arial"/>
          <w:bCs/>
          <w:szCs w:val="20"/>
          <w:lang w:eastAsia="pl-PL"/>
        </w:rPr>
        <w:t xml:space="preserve">oby </w:t>
      </w:r>
      <w:r w:rsidR="00DC6A57" w:rsidRPr="00DC6A57">
        <w:rPr>
          <w:rFonts w:cs="Arial"/>
          <w:bCs/>
          <w:szCs w:val="20"/>
          <w:lang w:eastAsia="pl-PL"/>
        </w:rPr>
        <w:t>w dniu i miejscu dostawy urządzenia) oraz bezpłatny serwis techniczny w okresie gwarancyjnym.</w:t>
      </w:r>
    </w:p>
    <w:bookmarkEnd w:id="11"/>
    <w:p w14:paraId="47407995" w14:textId="5F058C7D" w:rsidR="00C34522" w:rsidRPr="00C34522" w:rsidRDefault="00C34522" w:rsidP="00FB4B10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t>Wykonawca zobowiązany jest zapewnić bezpłatny serwis gwarancyjny urządze</w:t>
      </w:r>
      <w:r w:rsidR="00481FBF">
        <w:rPr>
          <w:rFonts w:cs="Arial"/>
          <w:bCs/>
          <w:szCs w:val="20"/>
          <w:lang w:eastAsia="pl-PL"/>
        </w:rPr>
        <w:t>nia</w:t>
      </w:r>
      <w:r w:rsidRPr="00C34522">
        <w:rPr>
          <w:rFonts w:cs="Arial"/>
          <w:bCs/>
          <w:szCs w:val="20"/>
          <w:lang w:eastAsia="pl-PL"/>
        </w:rPr>
        <w:t>;</w:t>
      </w:r>
    </w:p>
    <w:p w14:paraId="0863AF85" w14:textId="03B05BE5" w:rsidR="003A0DD4" w:rsidRPr="00A35F73" w:rsidRDefault="003A0DD4" w:rsidP="00FB4B10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6F51BD7" w14:textId="71F1FBFC" w:rsidR="0068625C" w:rsidRPr="009332ED" w:rsidRDefault="004C589D" w:rsidP="009332ED">
      <w:pPr>
        <w:pStyle w:val="Akapitzlist"/>
        <w:widowControl w:val="0"/>
        <w:numPr>
          <w:ilvl w:val="0"/>
          <w:numId w:val="56"/>
        </w:numPr>
        <w:spacing w:after="720"/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230B8E">
        <w:rPr>
          <w:b/>
        </w:rPr>
        <w:t>38418000-8</w:t>
      </w:r>
      <w:r w:rsidR="00CD4EBF" w:rsidRPr="00201B3C">
        <w:t xml:space="preserve">- </w:t>
      </w:r>
      <w:r w:rsidR="00230B8E" w:rsidRPr="00230B8E">
        <w:t>Kalorymetry</w:t>
      </w:r>
      <w:r w:rsidR="00CD4EBF" w:rsidRPr="00201B3C">
        <w:t>.</w:t>
      </w:r>
    </w:p>
    <w:p w14:paraId="276985F9" w14:textId="5ACF3BF5" w:rsidR="00170642" w:rsidRPr="00026F96" w:rsidRDefault="00170642" w:rsidP="00862A79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lastRenderedPageBreak/>
        <w:t xml:space="preserve">Opis przedmiotu zamówienia. </w:t>
      </w:r>
    </w:p>
    <w:p w14:paraId="70ED9272" w14:textId="4E5945A6" w:rsidR="00822550" w:rsidRDefault="00603309" w:rsidP="00862A79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862A79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862A79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72E73E4A" w:rsidR="00F12854" w:rsidRPr="00F12854" w:rsidRDefault="00F12854" w:rsidP="00862A79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650FEE" w:rsidRPr="00650FEE">
        <w:rPr>
          <w:lang w:eastAsia="x-none"/>
        </w:rPr>
        <w:t>urządzeni</w:t>
      </w:r>
      <w:r w:rsidR="00650FEE">
        <w:rPr>
          <w:lang w:eastAsia="x-none"/>
        </w:rPr>
        <w:t>a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862A79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0F460A5F" w:rsidR="009E363B" w:rsidRPr="009332ED" w:rsidRDefault="009F79A4" w:rsidP="00862A79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  <w:szCs w:val="20"/>
        </w:rPr>
      </w:pPr>
      <w:r w:rsidRPr="009332ED">
        <w:rPr>
          <w:rFonts w:eastAsia="Calibri"/>
          <w:szCs w:val="20"/>
        </w:rPr>
        <w:t xml:space="preserve">Zamawiający </w:t>
      </w:r>
      <w:r w:rsidR="00233649" w:rsidRPr="009332ED">
        <w:rPr>
          <w:rFonts w:eastAsia="Calibri"/>
          <w:szCs w:val="20"/>
        </w:rPr>
        <w:t xml:space="preserve">nie </w:t>
      </w:r>
      <w:r w:rsidRPr="009332ED">
        <w:rPr>
          <w:rFonts w:eastAsia="Calibri"/>
          <w:szCs w:val="20"/>
        </w:rPr>
        <w:t>dopuszcza możliwoś</w:t>
      </w:r>
      <w:r w:rsidR="009810AC" w:rsidRPr="009332ED">
        <w:rPr>
          <w:rFonts w:eastAsia="Calibri"/>
          <w:szCs w:val="20"/>
        </w:rPr>
        <w:t>ci</w:t>
      </w:r>
      <w:r w:rsidRPr="009332ED">
        <w:rPr>
          <w:rFonts w:eastAsia="Calibri"/>
          <w:szCs w:val="20"/>
        </w:rPr>
        <w:t xml:space="preserve"> składania ofert częściowyc</w:t>
      </w:r>
      <w:r w:rsidR="00A34DB1" w:rsidRPr="009332ED">
        <w:rPr>
          <w:rFonts w:eastAsia="Calibri"/>
          <w:szCs w:val="20"/>
        </w:rPr>
        <w:t>h:</w:t>
      </w:r>
    </w:p>
    <w:p w14:paraId="0D08A34D" w14:textId="4ED1DBBF" w:rsidR="009332ED" w:rsidRPr="009332ED" w:rsidRDefault="009332ED" w:rsidP="00862A79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9332ED">
        <w:rPr>
          <w:rFonts w:ascii="Bahnschrift" w:hAnsi="Bahnschrift"/>
          <w:sz w:val="20"/>
          <w:lang w:val="pl-PL" w:eastAsia="x-none"/>
        </w:rPr>
        <w:t>Mamy do czynienia z zamówieniem jednorodnym i niepodzielnym. Przedmiotowe zamówienie stanowi część większego zamówienia udzielanego w częściach.</w:t>
      </w:r>
    </w:p>
    <w:p w14:paraId="4DCC4DC4" w14:textId="350890D2" w:rsidR="00BA7E0B" w:rsidRPr="009332ED" w:rsidRDefault="00BA7E0B" w:rsidP="00862A79">
      <w:pPr>
        <w:pStyle w:val="Akapitzlist"/>
        <w:widowControl w:val="0"/>
        <w:numPr>
          <w:ilvl w:val="0"/>
          <w:numId w:val="64"/>
        </w:numPr>
        <w:ind w:left="567" w:hanging="283"/>
        <w:contextualSpacing w:val="0"/>
        <w:rPr>
          <w:bCs/>
          <w:iCs/>
          <w:szCs w:val="20"/>
          <w:lang w:eastAsia="x-none"/>
        </w:rPr>
      </w:pPr>
      <w:r w:rsidRPr="009332ED">
        <w:rPr>
          <w:rFonts w:eastAsia="Calibri"/>
          <w:szCs w:val="20"/>
        </w:rPr>
        <w:t>Zamawiający nie przewiduje możliwości składania ofert wariantowych.</w:t>
      </w:r>
    </w:p>
    <w:p w14:paraId="2BFC9E9F" w14:textId="01DC8F13" w:rsidR="00F91927" w:rsidRDefault="00AF7FE4" w:rsidP="00862A7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57F46F2" w14:textId="2F7048B9" w:rsidR="000C5435" w:rsidRPr="00201B3C" w:rsidRDefault="00F0343C" w:rsidP="00862A7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201B3C">
        <w:rPr>
          <w:b w:val="0"/>
          <w:color w:val="auto"/>
        </w:rPr>
        <w:t xml:space="preserve">do </w:t>
      </w:r>
      <w:r w:rsidR="00230B8E">
        <w:rPr>
          <w:b w:val="0"/>
          <w:color w:val="auto"/>
        </w:rPr>
        <w:t>15</w:t>
      </w:r>
      <w:r w:rsidR="00C96E09" w:rsidRPr="00201B3C">
        <w:rPr>
          <w:b w:val="0"/>
          <w:color w:val="auto"/>
        </w:rPr>
        <w:t xml:space="preserve"> </w:t>
      </w:r>
      <w:r w:rsidR="00230B8E">
        <w:rPr>
          <w:b w:val="0"/>
          <w:color w:val="auto"/>
        </w:rPr>
        <w:t>tygo</w:t>
      </w:r>
      <w:r w:rsidR="00C96E09" w:rsidRPr="00201B3C">
        <w:rPr>
          <w:b w:val="0"/>
          <w:color w:val="auto"/>
        </w:rPr>
        <w:t xml:space="preserve">dni </w:t>
      </w:r>
      <w:r w:rsidRPr="00201B3C">
        <w:rPr>
          <w:b w:val="0"/>
          <w:color w:val="auto"/>
        </w:rPr>
        <w:t xml:space="preserve">od </w:t>
      </w:r>
      <w:r w:rsidR="00DB2334">
        <w:rPr>
          <w:b w:val="0"/>
          <w:color w:val="auto"/>
        </w:rPr>
        <w:t>zawarcia umowy</w:t>
      </w:r>
      <w:r w:rsidR="00F12854" w:rsidRPr="00201B3C">
        <w:rPr>
          <w:b w:val="0"/>
          <w:color w:val="auto"/>
        </w:rPr>
        <w:t>.</w:t>
      </w:r>
    </w:p>
    <w:p w14:paraId="06B9A911" w14:textId="19BC53C2" w:rsidR="000518A0" w:rsidRPr="008F21F1" w:rsidRDefault="00E51823" w:rsidP="00862A79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F21F1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862A79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3088C207" w14:textId="6547867E" w:rsidR="00A34DB1" w:rsidRPr="00A34DB1" w:rsidRDefault="00F85C46" w:rsidP="00862A79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  <w:r w:rsidR="00BA5660">
        <w:t xml:space="preserve">Wydział Nauk Ścisłych i </w:t>
      </w:r>
      <w:r w:rsidR="00BA5660" w:rsidRPr="00BA5660">
        <w:t>Technicznych</w:t>
      </w:r>
      <w:r w:rsidR="00BA5660">
        <w:t xml:space="preserve"> Uniwersytetu Śliskiego w Katowicach, ul. 75 Pułku Piechoty 1A, 41-500 Chorzów. </w:t>
      </w:r>
    </w:p>
    <w:p w14:paraId="0FCD3CFB" w14:textId="4028F3A5" w:rsidR="00F422A2" w:rsidRDefault="00687243" w:rsidP="00151872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</w:pPr>
      <w:r w:rsidRPr="008F21F1">
        <w:rPr>
          <w:b/>
        </w:rPr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DC6A57">
        <w:t>12 m-cy</w:t>
      </w:r>
      <w:r w:rsidR="00C22B89">
        <w:t xml:space="preserve">, </w:t>
      </w:r>
      <w:r w:rsidR="00F422A2">
        <w:t>(</w:t>
      </w:r>
      <w:r w:rsidR="00C22B89">
        <w:t>na celę 60 m-cy</w:t>
      </w:r>
      <w:r w:rsidR="00F422A2">
        <w:t>)</w:t>
      </w:r>
      <w:r w:rsidR="00C22B89">
        <w:t>.</w:t>
      </w:r>
      <w:r w:rsidR="00151872" w:rsidRPr="00151872">
        <w:t xml:space="preserve"> </w:t>
      </w:r>
    </w:p>
    <w:p w14:paraId="52D2F182" w14:textId="77C1097A" w:rsidR="00C22B89" w:rsidRPr="00151872" w:rsidRDefault="00151872" w:rsidP="00F422A2">
      <w:pPr>
        <w:pStyle w:val="Nagwek3"/>
        <w:widowControl w:val="0"/>
        <w:ind w:left="567"/>
        <w:contextualSpacing w:val="0"/>
      </w:pPr>
      <w:r w:rsidRPr="00151872">
        <w:t xml:space="preserve">Wykonawca może wydłużyć </w:t>
      </w:r>
      <w:r w:rsidR="00F422A2">
        <w:t xml:space="preserve">ww. </w:t>
      </w:r>
      <w:r w:rsidR="00C75711" w:rsidRPr="00C75711">
        <w:t>12 m</w:t>
      </w:r>
      <w:r w:rsidR="006B4C0A">
        <w:t>iesięczny</w:t>
      </w:r>
      <w:r w:rsidR="00C75711">
        <w:t xml:space="preserve"> </w:t>
      </w:r>
      <w:r w:rsidRPr="00151872">
        <w:t xml:space="preserve">termin gwarancji. Oferta przewidująca wydłużenie </w:t>
      </w:r>
      <w:r w:rsidR="006B4C0A">
        <w:t xml:space="preserve">ww. </w:t>
      </w:r>
      <w:r w:rsidR="006B4C0A" w:rsidRPr="006B4C0A">
        <w:t>12 m</w:t>
      </w:r>
      <w:r w:rsidR="006B4C0A">
        <w:t>iesię</w:t>
      </w:r>
      <w:r w:rsidR="006B4C0A" w:rsidRPr="006B4C0A">
        <w:t>czn</w:t>
      </w:r>
      <w:r w:rsidR="006B4C0A">
        <w:t>ego</w:t>
      </w:r>
      <w:r w:rsidR="006B4C0A" w:rsidRPr="006B4C0A">
        <w:t xml:space="preserve"> termin</w:t>
      </w:r>
      <w:r w:rsidR="006B4C0A">
        <w:t>u</w:t>
      </w:r>
      <w:r w:rsidR="006B4C0A" w:rsidRPr="006B4C0A">
        <w:t xml:space="preserve"> gwarancji</w:t>
      </w:r>
      <w:r w:rsidR="006B4C0A">
        <w:t xml:space="preserve">, </w:t>
      </w:r>
      <w:r w:rsidRPr="00151872">
        <w:t>otrzyma punkty w ramach oceny ofert z zastosowaniem kryterium wyboru oferty najkorzystniejszej</w:t>
      </w:r>
    </w:p>
    <w:p w14:paraId="440E065C" w14:textId="6A897DFE" w:rsidR="00F85C46" w:rsidRDefault="00F85C46" w:rsidP="00BA58BC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37B36F5C" w14:textId="77777777" w:rsidR="00862A79" w:rsidRPr="00862A79" w:rsidRDefault="00862A79" w:rsidP="00862A79">
      <w:pPr>
        <w:pStyle w:val="Tekstpodstawowy"/>
        <w:rPr>
          <w:lang w:val="pl-PL" w:eastAsia="x-none"/>
        </w:rPr>
      </w:pPr>
    </w:p>
    <w:p w14:paraId="43EEA720" w14:textId="41419DBE" w:rsidR="00CF6A08" w:rsidRPr="00455E04" w:rsidRDefault="00CF6A08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lastRenderedPageBreak/>
        <w:t>Dodatkowe wymagania związane z realizacją zamówienia.</w:t>
      </w:r>
    </w:p>
    <w:p w14:paraId="22E0F8E8" w14:textId="01E2D3E3" w:rsidR="00586657" w:rsidRPr="00455E04" w:rsidRDefault="003B3416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BA58BC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79AA80" w:rsidR="00364028" w:rsidRPr="00455E04" w:rsidRDefault="00593C25" w:rsidP="00BA58BC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ED1083">
      <w:pPr>
        <w:pStyle w:val="Nagwek1"/>
      </w:pPr>
      <w:bookmarkStart w:id="12" w:name="_Toc99351180"/>
      <w:r w:rsidRPr="005B5BDF">
        <w:t>Przedmiotowe środki dowodowe.</w:t>
      </w:r>
      <w:bookmarkEnd w:id="12"/>
    </w:p>
    <w:p w14:paraId="5A92E1C0" w14:textId="6CE95966" w:rsidR="00F65A36" w:rsidRPr="00455E04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735C9E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735C9E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1F784C37" w:rsidR="00636F3B" w:rsidRDefault="00985869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E52D2E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E55332">
              <w:rPr>
                <w:b w:val="0"/>
                <w:sz w:val="18"/>
                <w:szCs w:val="18"/>
              </w:rPr>
              <w:t>urządze</w:t>
            </w:r>
            <w:r w:rsidR="00E52D2E">
              <w:rPr>
                <w:b w:val="0"/>
                <w:sz w:val="18"/>
                <w:szCs w:val="18"/>
              </w:rPr>
              <w:t>nia</w:t>
            </w:r>
            <w:r w:rsidR="00E55332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5B39C408" w:rsidR="00985869" w:rsidRPr="00FA6B17" w:rsidRDefault="00636F3B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BA5660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BA5660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803DDC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03FF79CD" w:rsidR="00C25340" w:rsidRDefault="00C325E2" w:rsidP="00E52D2E">
      <w:pPr>
        <w:widowControl w:val="0"/>
        <w:spacing w:after="96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ED1083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99351181"/>
      <w:r w:rsidRPr="005B5BDF">
        <w:lastRenderedPageBreak/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3"/>
      <w:bookmarkEnd w:id="14"/>
      <w:bookmarkEnd w:id="15"/>
      <w:bookmarkEnd w:id="16"/>
      <w:r w:rsidRPr="005B5BDF">
        <w:t xml:space="preserve"> </w:t>
      </w:r>
    </w:p>
    <w:p w14:paraId="55FBF8D8" w14:textId="71704F0F" w:rsidR="00A867B7" w:rsidRPr="00F82100" w:rsidRDefault="00A62353" w:rsidP="0068625C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8625C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520A35E4" w:rsidR="00BC70A8" w:rsidRPr="00BC70A8" w:rsidRDefault="00BC70A8" w:rsidP="0068625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FF4803">
      <w:pPr>
        <w:widowControl w:val="0"/>
        <w:numPr>
          <w:ilvl w:val="0"/>
          <w:numId w:val="9"/>
        </w:numPr>
        <w:spacing w:after="240"/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FF4803">
      <w:pPr>
        <w:widowControl w:val="0"/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lastRenderedPageBreak/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FF4803">
      <w:pPr>
        <w:widowControl w:val="0"/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F4803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FF4803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F4803">
      <w:pPr>
        <w:pStyle w:val="Akapitzlist"/>
        <w:widowControl w:val="0"/>
        <w:numPr>
          <w:ilvl w:val="0"/>
          <w:numId w:val="53"/>
        </w:numPr>
        <w:spacing w:after="120"/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FF4803">
      <w:pPr>
        <w:pStyle w:val="Nagwek1"/>
        <w:widowControl w:val="0"/>
        <w:spacing w:before="0"/>
      </w:pPr>
      <w:bookmarkStart w:id="17" w:name="_Toc99351182"/>
      <w:r w:rsidRPr="00F82100">
        <w:t>Kwalifikacja podmiotowa – warunki udziału w postępowaniu.</w:t>
      </w:r>
      <w:bookmarkEnd w:id="17"/>
    </w:p>
    <w:p w14:paraId="0C7E6B52" w14:textId="1EF1651C" w:rsidR="00F85C46" w:rsidRDefault="00473D30" w:rsidP="00FF4803">
      <w:pPr>
        <w:widowControl w:val="0"/>
        <w:tabs>
          <w:tab w:val="left" w:pos="142"/>
          <w:tab w:val="left" w:pos="284"/>
        </w:tabs>
        <w:spacing w:before="120" w:after="12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FF4803">
      <w:pPr>
        <w:pStyle w:val="Nagwek1"/>
        <w:widowControl w:val="0"/>
        <w:spacing w:before="0"/>
        <w:rPr>
          <w:noProof/>
        </w:rPr>
      </w:pPr>
      <w:bookmarkStart w:id="18" w:name="_Toc99351183"/>
      <w:r w:rsidRPr="00F82100">
        <w:rPr>
          <w:noProof/>
        </w:rPr>
        <w:t>Oświadczenie wstępne, podmiotowe środki dowodowe oraz inne dokumenty.</w:t>
      </w:r>
      <w:bookmarkEnd w:id="18"/>
    </w:p>
    <w:p w14:paraId="064F06D8" w14:textId="77777777" w:rsidR="003950B2" w:rsidRPr="00F82100" w:rsidRDefault="00B376D2" w:rsidP="00FF4803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FF4803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FF4803">
            <w:pPr>
              <w:widowControl w:val="0"/>
              <w:spacing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FF4803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FF4803">
            <w:pPr>
              <w:widowControl w:val="0"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FF4803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FF4803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24E68A15" w:rsidR="00021C6F" w:rsidRPr="00F82100" w:rsidRDefault="00197CBB" w:rsidP="00FF4803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FF4803">
      <w:pPr>
        <w:pStyle w:val="Nagwek3"/>
        <w:widowControl w:val="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lastRenderedPageBreak/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313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726B3B3B" w:rsidR="00815FE8" w:rsidRPr="00FF0586" w:rsidRDefault="00313F1F" w:rsidP="00FF0586">
            <w:pPr>
              <w:pStyle w:val="Akapitzlist"/>
              <w:tabs>
                <w:tab w:val="left" w:pos="426"/>
              </w:tabs>
              <w:spacing w:before="24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313F1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Wykonawcę podpisem kwalifikowanym, zaufanym lub osobistym lub notariusza podpisem kwalifikowanym. </w:t>
            </w:r>
            <w:r w:rsidRPr="00FF0586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41" w:type="dxa"/>
        <w:tblInd w:w="675" w:type="dxa"/>
        <w:tblLook w:val="04A0" w:firstRow="1" w:lastRow="0" w:firstColumn="1" w:lastColumn="0" w:noHBand="0" w:noVBand="1"/>
      </w:tblPr>
      <w:tblGrid>
        <w:gridCol w:w="4662"/>
        <w:gridCol w:w="4379"/>
      </w:tblGrid>
      <w:tr w:rsidR="009C40E6" w:rsidRPr="005B5BDF" w14:paraId="2691B713" w14:textId="77777777" w:rsidTr="00FF05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2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79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FF0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2" w:type="dxa"/>
            <w:shd w:val="clear" w:color="auto" w:fill="F2F2F2" w:themeFill="background1" w:themeFillShade="F2"/>
            <w:vAlign w:val="center"/>
          </w:tcPr>
          <w:p w14:paraId="3F291E75" w14:textId="6AC56424" w:rsidR="009C40E6" w:rsidRPr="005B5BDF" w:rsidRDefault="00A74852" w:rsidP="00A74852">
            <w:pPr>
              <w:pStyle w:val="Nagwek3"/>
              <w:spacing w:line="360" w:lineRule="auto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A7485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                           o udzielenie zamówienia publicznego.</w:t>
            </w:r>
          </w:p>
        </w:tc>
        <w:tc>
          <w:tcPr>
            <w:tcW w:w="4379" w:type="dxa"/>
            <w:shd w:val="clear" w:color="auto" w:fill="F2F2F2" w:themeFill="background1" w:themeFillShade="F2"/>
            <w:vAlign w:val="center"/>
          </w:tcPr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D1083">
      <w:pPr>
        <w:pStyle w:val="Nagwek1"/>
      </w:pPr>
      <w:bookmarkStart w:id="19" w:name="_Toc99351184"/>
      <w:r w:rsidRPr="005B5BDF">
        <w:t>Wymagania dotyczące wadium.</w:t>
      </w:r>
      <w:bookmarkStart w:id="20" w:name="OLE_LINK1"/>
      <w:bookmarkEnd w:id="19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ED1083">
      <w:pPr>
        <w:pStyle w:val="Nagwek1"/>
      </w:pPr>
      <w:bookmarkStart w:id="21" w:name="_Toc99351185"/>
      <w:bookmarkEnd w:id="20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1"/>
    </w:p>
    <w:p w14:paraId="618711CE" w14:textId="7B68746D" w:rsidR="00907E2D" w:rsidRPr="00307594" w:rsidRDefault="00907E2D" w:rsidP="0068625C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68625C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lastRenderedPageBreak/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581A1B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lastRenderedPageBreak/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581A1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581A1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581A1B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9EB6021" w:rsidR="006D6009" w:rsidRPr="005B5BDF" w:rsidRDefault="00ED5508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581A1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581A1B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581A1B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581A1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732DEAFC" w:rsidR="00E93D14" w:rsidRDefault="00D05F0F" w:rsidP="00581A1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439CA83A" w14:textId="77777777" w:rsidR="00581A1B" w:rsidRPr="00581A1B" w:rsidRDefault="00581A1B" w:rsidP="00581A1B">
      <w:pPr>
        <w:pStyle w:val="Tekstpodstawowy"/>
        <w:rPr>
          <w:lang w:val="pl"/>
        </w:rPr>
      </w:pP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lastRenderedPageBreak/>
        <w:t>Rekomendacje.</w:t>
      </w:r>
    </w:p>
    <w:p w14:paraId="7FBC1475" w14:textId="77777777" w:rsidR="00E21011" w:rsidRDefault="00636F3B" w:rsidP="00F073D5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748CA24D" w14:textId="77777777" w:rsidR="00E21011" w:rsidRDefault="00636F3B" w:rsidP="00F073D5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F073D5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F073D5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5875E622" w:rsidR="00636F3B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3E0A9DCA" w14:textId="77777777" w:rsidR="00CD4EA2" w:rsidRPr="00CD4EA2" w:rsidRDefault="00CD4EA2" w:rsidP="00CD4EA2">
      <w:pPr>
        <w:pStyle w:val="Tekstpodstawowy"/>
        <w:rPr>
          <w:lang w:val="pl" w:eastAsia="x-none"/>
        </w:rPr>
      </w:pPr>
    </w:p>
    <w:p w14:paraId="7369EC4C" w14:textId="4B960213" w:rsidR="007206AE" w:rsidRPr="005B5BDF" w:rsidRDefault="001C43D0" w:rsidP="00ED1083">
      <w:pPr>
        <w:pStyle w:val="Nagwek1"/>
      </w:pPr>
      <w:bookmarkStart w:id="22" w:name="_wp2umuqo1p7z" w:colFirst="0" w:colLast="0"/>
      <w:bookmarkStart w:id="23" w:name="_Toc99351186"/>
      <w:bookmarkEnd w:id="22"/>
      <w:r w:rsidRPr="005B5BDF">
        <w:lastRenderedPageBreak/>
        <w:t>Opis sposobu przygotowania ofert.</w:t>
      </w:r>
      <w:bookmarkEnd w:id="23"/>
    </w:p>
    <w:p w14:paraId="5F379EB3" w14:textId="44C82CE4" w:rsidR="00C540B8" w:rsidRPr="00307594" w:rsidRDefault="00C540B8" w:rsidP="00CD4EA2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0A0FB73E" w:rsidR="007B0947" w:rsidRPr="00307594" w:rsidRDefault="00C540B8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 niniejszego postępowania;</w:t>
      </w:r>
    </w:p>
    <w:p w14:paraId="065D49E4" w14:textId="63B4C6FB" w:rsidR="007B0947" w:rsidRPr="00307594" w:rsidRDefault="008B0002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lastRenderedPageBreak/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17F575B5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 xml:space="preserve">podaniem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75F3DDC1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650FEE">
        <w:rPr>
          <w:rFonts w:eastAsia="Times New Roman" w:cs="Times New Roman"/>
          <w:bCs/>
          <w:szCs w:val="26"/>
          <w:lang w:eastAsia="x-none"/>
        </w:rPr>
        <w:t>e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650FEE" w:rsidRPr="00650FEE">
        <w:rPr>
          <w:rFonts w:eastAsia="Times New Roman" w:cs="Times New Roman"/>
          <w:bCs/>
          <w:szCs w:val="26"/>
          <w:lang w:eastAsia="x-none"/>
        </w:rPr>
        <w:t>urządzenie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650FEE">
        <w:rPr>
          <w:rFonts w:eastAsia="Times New Roman" w:cs="Times New Roman"/>
          <w:bCs/>
          <w:szCs w:val="26"/>
          <w:lang w:eastAsia="x-none"/>
        </w:rPr>
        <w:t>e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650FEE" w:rsidRPr="00650FEE">
        <w:rPr>
          <w:rFonts w:eastAsia="Times New Roman" w:cs="Times New Roman"/>
          <w:bCs/>
          <w:szCs w:val="26"/>
          <w:lang w:eastAsia="x-none"/>
        </w:rPr>
        <w:t>urządzenie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CA7D4AB" w:rsidR="00C540B8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6D966E99" w14:textId="77777777" w:rsidR="000D5474" w:rsidRPr="000D5474" w:rsidRDefault="000D5474" w:rsidP="000D5474">
      <w:pPr>
        <w:pStyle w:val="Tekstpodstawowy"/>
        <w:rPr>
          <w:lang w:val="pl-PL" w:eastAsia="x-none"/>
        </w:rPr>
      </w:pPr>
    </w:p>
    <w:p w14:paraId="1EDC20D0" w14:textId="073D6CED" w:rsidR="00E23287" w:rsidRPr="002815DF" w:rsidRDefault="00E23287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lastRenderedPageBreak/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57D666A4" w:rsidR="007B0947" w:rsidRDefault="00A57F79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6E14E3">
        <w:rPr>
          <w:b/>
        </w:rPr>
        <w:t>urządze</w:t>
      </w:r>
      <w:r w:rsidR="00BA5660">
        <w:rPr>
          <w:b/>
        </w:rPr>
        <w:t>nia</w:t>
      </w:r>
      <w:r w:rsidR="006E14E3">
        <w:rPr>
          <w:b/>
        </w:rPr>
        <w:t xml:space="preserve"> </w:t>
      </w:r>
      <w:r w:rsidR="00CC568A" w:rsidRPr="00CC568A">
        <w:rPr>
          <w:b/>
        </w:rPr>
        <w:t>wraz z dostawą, koszt rozładunku i wniesienia w miejsce wskazane przez Zamawiającego</w:t>
      </w:r>
      <w:r w:rsidR="00BA5660">
        <w:rPr>
          <w:b/>
        </w:rPr>
        <w:t xml:space="preserve">,  a także instalacji i szkolenia oraz </w:t>
      </w:r>
      <w:r w:rsidR="00CC568A" w:rsidRPr="00CC568A">
        <w:rPr>
          <w:b/>
        </w:rPr>
        <w:t>koszt bezpłatnego serwisu technicznego</w:t>
      </w:r>
      <w:r w:rsidR="00BA5660">
        <w:rPr>
          <w:b/>
        </w:rPr>
        <w:t xml:space="preserve"> </w:t>
      </w:r>
      <w:r w:rsidR="00CC568A" w:rsidRPr="00CC568A">
        <w:rPr>
          <w:b/>
        </w:rPr>
        <w:t>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2E0E18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4103EAC3" w14:textId="018687EB" w:rsidR="00214CE5" w:rsidRPr="00652D62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2E0E18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2E0E18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2E0E18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</w:t>
      </w:r>
      <w:r w:rsidRPr="005B5BDF">
        <w:lastRenderedPageBreak/>
        <w:t>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D1083">
      <w:pPr>
        <w:pStyle w:val="Nagwek1"/>
      </w:pPr>
      <w:bookmarkStart w:id="24" w:name="_Toc99351187"/>
      <w:r w:rsidRPr="005B5BDF">
        <w:t>Sposób oraz termin składania ofert.</w:t>
      </w:r>
      <w:bookmarkEnd w:id="24"/>
    </w:p>
    <w:p w14:paraId="57903697" w14:textId="77777777" w:rsidR="007B0947" w:rsidRPr="00A14570" w:rsidRDefault="007B0947" w:rsidP="00CF70C2">
      <w:pPr>
        <w:pStyle w:val="Nagwek2"/>
        <w:keepNext w:val="0"/>
        <w:widowControl w:val="0"/>
        <w:numPr>
          <w:ilvl w:val="0"/>
          <w:numId w:val="46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49353F92" w:rsidR="007B0947" w:rsidRDefault="007B0947" w:rsidP="00CF70C2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8870B9">
        <w:rPr>
          <w:b/>
          <w:shd w:val="clear" w:color="auto" w:fill="D9E2F3" w:themeFill="accent1" w:themeFillTint="33"/>
          <w:lang w:eastAsia="x-none"/>
        </w:rPr>
        <w:t>26.06.2024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CF70C2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051128E1" w:rsidR="009F7A41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D1083">
      <w:pPr>
        <w:pStyle w:val="Nagwek1"/>
      </w:pPr>
      <w:bookmarkStart w:id="25" w:name="_Toc99351188"/>
      <w:r w:rsidRPr="005B5BDF">
        <w:t>Termin i tryb otwarcia ofert.</w:t>
      </w:r>
      <w:bookmarkEnd w:id="25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4E7D67B7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8870B9" w:rsidRPr="008870B9">
        <w:rPr>
          <w:rFonts w:eastAsia="Calibri"/>
          <w:b/>
          <w:shd w:val="clear" w:color="auto" w:fill="DEEAF6" w:themeFill="accent5" w:themeFillTint="33"/>
        </w:rPr>
        <w:t xml:space="preserve">26.06.2024 r.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lastRenderedPageBreak/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D1083">
      <w:pPr>
        <w:pStyle w:val="Nagwek1"/>
      </w:pPr>
      <w:bookmarkStart w:id="26" w:name="_Toc99351189"/>
      <w:r w:rsidRPr="005B5BDF">
        <w:t>Termin związania ofertą.</w:t>
      </w:r>
      <w:bookmarkEnd w:id="26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02B9D3EC" w:rsidR="00D06776" w:rsidRPr="00A14570" w:rsidRDefault="00D06776" w:rsidP="0038419F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760F21">
        <w:rPr>
          <w:b/>
          <w:shd w:val="clear" w:color="auto" w:fill="D9E2F3" w:themeFill="accent1" w:themeFillTint="33"/>
        </w:rPr>
        <w:t>25.07.2024</w:t>
      </w:r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D1083">
      <w:pPr>
        <w:pStyle w:val="Nagwek1"/>
      </w:pPr>
      <w:bookmarkStart w:id="27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7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2065DB87" w:rsidR="00F85C46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 xml:space="preserve">,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p w14:paraId="7EA39199" w14:textId="64158654" w:rsidR="00CF70C2" w:rsidRDefault="00CF70C2" w:rsidP="00CF70C2">
      <w:pPr>
        <w:pStyle w:val="Tekstpodstawowy"/>
        <w:rPr>
          <w:lang w:val="pl-PL" w:eastAsia="x-none"/>
        </w:rPr>
      </w:pPr>
    </w:p>
    <w:p w14:paraId="28CF2626" w14:textId="77777777" w:rsidR="00CF70C2" w:rsidRPr="00CF70C2" w:rsidRDefault="00CF70C2" w:rsidP="00CF70C2">
      <w:pPr>
        <w:pStyle w:val="Tekstpodstawowy"/>
        <w:rPr>
          <w:lang w:val="pl-PL" w:eastAsia="x-none"/>
        </w:rPr>
      </w:pP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CF70C2">
            <w:pPr>
              <w:widowControl w:val="0"/>
              <w:spacing w:line="240" w:lineRule="auto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CF70C2">
            <w:pPr>
              <w:widowControl w:val="0"/>
              <w:spacing w:line="240" w:lineRule="auto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1CD03078" w:rsidR="003C3AC5" w:rsidRPr="005B5BDF" w:rsidRDefault="00BA5660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293F62BE" w:rsidR="003C3AC5" w:rsidRPr="005B5BDF" w:rsidRDefault="00BA5660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BA5660" w:rsidRPr="005B5BDF" w14:paraId="31BEBCCA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DA6CB0E" w14:textId="7125DFD3" w:rsidR="00BA5660" w:rsidRPr="005B5BDF" w:rsidRDefault="00BA5660" w:rsidP="00BA5660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 xml:space="preserve">c) 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12C8A5F1" w14:textId="28060135" w:rsidR="00BA5660" w:rsidRDefault="00BA5660" w:rsidP="00CF70C2">
            <w:pPr>
              <w:widowControl w:val="0"/>
              <w:spacing w:line="240" w:lineRule="auto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Termin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692B776" w14:textId="65F1F457" w:rsidR="00BA5660" w:rsidRDefault="00BA5660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35950A73" w14:textId="0E37A6FE" w:rsidR="00BA5660" w:rsidRDefault="00BA5660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08CF68A" w14:textId="77777777" w:rsidR="002F2ED6" w:rsidRDefault="00B4713F" w:rsidP="003920A1">
      <w:pPr>
        <w:pStyle w:val="Nagwek4"/>
        <w:widowControl w:val="0"/>
        <w:numPr>
          <w:ilvl w:val="0"/>
          <w:numId w:val="55"/>
        </w:numPr>
        <w:spacing w:before="360" w:after="0"/>
        <w:ind w:left="1134" w:hanging="283"/>
        <w:contextualSpacing w:val="0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="00BE41E2" w:rsidRPr="006E7A2E">
        <w:t xml:space="preserve"> </w:t>
      </w:r>
      <w:r w:rsidR="00BE41E2" w:rsidRPr="00CC568A">
        <w:rPr>
          <w:b/>
        </w:rPr>
        <w:t>zamówienia</w:t>
      </w:r>
      <w:r w:rsidRPr="006E7A2E">
        <w:t>”:</w:t>
      </w:r>
      <w:r w:rsidR="002C0900" w:rsidRPr="006E7A2E">
        <w:t xml:space="preserve"> </w:t>
      </w:r>
    </w:p>
    <w:p w14:paraId="393C4418" w14:textId="2B0D4D12" w:rsidR="00C736E3" w:rsidRDefault="00CC568A" w:rsidP="00C736E3">
      <w:pPr>
        <w:pStyle w:val="Nagwek4"/>
        <w:widowControl w:val="0"/>
        <w:numPr>
          <w:ilvl w:val="0"/>
          <w:numId w:val="0"/>
        </w:numPr>
        <w:spacing w:before="120" w:after="0"/>
        <w:ind w:left="1134"/>
        <w:contextualSpacing w:val="0"/>
        <w:rPr>
          <w:lang w:val="pl-PL"/>
        </w:rPr>
      </w:pPr>
      <w:r w:rsidRPr="00CC568A">
        <w:t>Zamawiający</w:t>
      </w:r>
      <w:r w:rsidR="002F2ED6">
        <w:rPr>
          <w:lang w:val="pl-PL"/>
        </w:rPr>
        <w:t xml:space="preserve"> </w:t>
      </w:r>
      <w:r w:rsidRPr="00CC568A">
        <w:t xml:space="preserve">w ramach tego kryterium przyzna maksymalnie </w:t>
      </w:r>
      <w:r w:rsidR="009F37CD">
        <w:rPr>
          <w:lang w:val="pl-PL"/>
        </w:rPr>
        <w:t>2</w:t>
      </w:r>
      <w:bookmarkStart w:id="28" w:name="_GoBack"/>
      <w:bookmarkEnd w:id="28"/>
      <w:r w:rsidRPr="00CC568A">
        <w:t>0 pkt.</w:t>
      </w:r>
      <w:r>
        <w:rPr>
          <w:lang w:val="pl-PL"/>
        </w:rPr>
        <w:t xml:space="preserve"> </w:t>
      </w:r>
    </w:p>
    <w:p w14:paraId="02E77193" w14:textId="77777777" w:rsidR="00C736E3" w:rsidRDefault="00CC568A" w:rsidP="00C736E3">
      <w:pPr>
        <w:pStyle w:val="Nagwek4"/>
        <w:widowControl w:val="0"/>
        <w:numPr>
          <w:ilvl w:val="0"/>
          <w:numId w:val="0"/>
        </w:numPr>
        <w:spacing w:before="0" w:after="0"/>
        <w:ind w:left="1134"/>
        <w:contextualSpacing w:val="0"/>
        <w:rPr>
          <w:rFonts w:cs="Arial"/>
        </w:rPr>
      </w:pPr>
      <w:r w:rsidRPr="00CC568A">
        <w:rPr>
          <w:rFonts w:cs="Arial"/>
        </w:rPr>
        <w:t>Zgodnie z warunkami SWZ, maksymalny wymagany termin realizacji zamówienia wynosi:</w:t>
      </w:r>
      <w:r w:rsidRPr="00CC568A">
        <w:t xml:space="preserve"> </w:t>
      </w:r>
      <w:r w:rsidRPr="002F2ED6">
        <w:rPr>
          <w:rFonts w:cs="Arial"/>
          <w:b/>
        </w:rPr>
        <w:t xml:space="preserve">do </w:t>
      </w:r>
      <w:r w:rsidR="002C6D61" w:rsidRPr="002F2ED6">
        <w:rPr>
          <w:rFonts w:cs="Arial"/>
          <w:b/>
          <w:lang w:val="pl-PL"/>
        </w:rPr>
        <w:t>15</w:t>
      </w:r>
      <w:r w:rsidRPr="002F2ED6">
        <w:rPr>
          <w:rFonts w:cs="Arial"/>
          <w:b/>
        </w:rPr>
        <w:t xml:space="preserve"> </w:t>
      </w:r>
      <w:r w:rsidR="002C6D61" w:rsidRPr="002F2ED6">
        <w:rPr>
          <w:rFonts w:cs="Arial"/>
          <w:b/>
          <w:lang w:val="pl-PL"/>
        </w:rPr>
        <w:t>tygo</w:t>
      </w:r>
      <w:r w:rsidRPr="002F2ED6">
        <w:rPr>
          <w:rFonts w:cs="Arial"/>
          <w:b/>
        </w:rPr>
        <w:t xml:space="preserve">dni od </w:t>
      </w:r>
      <w:r w:rsidR="00652D62" w:rsidRPr="002F2ED6">
        <w:rPr>
          <w:rFonts w:cs="Arial"/>
          <w:b/>
          <w:lang w:val="pl-PL"/>
        </w:rPr>
        <w:t>daty zawarcia umowy</w:t>
      </w:r>
      <w:r w:rsidRPr="00CC568A">
        <w:rPr>
          <w:rFonts w:cs="Arial"/>
        </w:rPr>
        <w:t xml:space="preserve">. </w:t>
      </w:r>
    </w:p>
    <w:p w14:paraId="44AECE12" w14:textId="03197699" w:rsidR="00CC568A" w:rsidRPr="00CC568A" w:rsidRDefault="00CC568A" w:rsidP="00C736E3">
      <w:pPr>
        <w:pStyle w:val="Nagwek4"/>
        <w:widowControl w:val="0"/>
        <w:numPr>
          <w:ilvl w:val="0"/>
          <w:numId w:val="0"/>
        </w:numPr>
        <w:spacing w:before="0" w:after="0"/>
        <w:ind w:left="1134"/>
        <w:contextualSpacing w:val="0"/>
      </w:pPr>
      <w:r w:rsidRPr="00CC568A">
        <w:rPr>
          <w:rFonts w:cs="Arial"/>
        </w:rPr>
        <w:t>Ocena dla tego kryterium będzie obliczana na podstawie złożonego przez Wykonawcę oświadczenia w formularzu oferty, stanowiącym załącznik nr 1A do SWZ.</w:t>
      </w:r>
    </w:p>
    <w:p w14:paraId="72810B71" w14:textId="735CB661" w:rsidR="002C6D61" w:rsidRPr="002C6D61" w:rsidRDefault="00CC568A" w:rsidP="001C0347">
      <w:pPr>
        <w:widowControl w:val="0"/>
        <w:spacing w:before="120"/>
        <w:ind w:left="1134" w:hanging="567"/>
        <w:rPr>
          <w:rFonts w:eastAsia="Times New Roman" w:cs="Arial"/>
          <w:szCs w:val="20"/>
        </w:rPr>
      </w:pPr>
      <w:r w:rsidRPr="002C6D61">
        <w:rPr>
          <w:rFonts w:eastAsia="Times New Roman" w:cs="Arial"/>
          <w:szCs w:val="20"/>
        </w:rPr>
        <w:t xml:space="preserve">          </w:t>
      </w:r>
      <w:r w:rsidRPr="002C6D61">
        <w:rPr>
          <w:rFonts w:eastAsia="Times New Roman" w:cs="Arial"/>
          <w:szCs w:val="20"/>
          <w:lang w:val="x-none"/>
        </w:rPr>
        <w:t>Punkty za kryterium „</w:t>
      </w:r>
      <w:r w:rsidRPr="002F2ED6">
        <w:rPr>
          <w:rFonts w:eastAsia="Times New Roman" w:cs="Arial"/>
          <w:b/>
          <w:szCs w:val="20"/>
        </w:rPr>
        <w:t>T</w:t>
      </w:r>
      <w:r w:rsidRPr="002F2ED6">
        <w:rPr>
          <w:rFonts w:eastAsia="Times New Roman" w:cs="Arial"/>
          <w:b/>
          <w:szCs w:val="20"/>
          <w:lang w:val="x-none"/>
        </w:rPr>
        <w:t xml:space="preserve">ermin realizacji </w:t>
      </w:r>
      <w:r w:rsidRPr="002F2ED6">
        <w:rPr>
          <w:rFonts w:eastAsia="Times New Roman" w:cs="Arial"/>
          <w:b/>
          <w:color w:val="000000"/>
          <w:szCs w:val="20"/>
          <w:lang w:val="x-none" w:eastAsia="pl-PL"/>
        </w:rPr>
        <w:t>zamówienia</w:t>
      </w:r>
      <w:r w:rsidRPr="002C6D61">
        <w:rPr>
          <w:rFonts w:eastAsia="Times New Roman" w:cs="Arial"/>
          <w:szCs w:val="20"/>
          <w:lang w:val="x-none"/>
        </w:rPr>
        <w:t>” zostaną przyznane w następujący sposób:</w:t>
      </w:r>
      <w:r w:rsidR="002C6D61" w:rsidRPr="002C6D61">
        <w:rPr>
          <w:rFonts w:eastAsia="Times New Roman" w:cs="Arial"/>
          <w:szCs w:val="20"/>
        </w:rPr>
        <w:t xml:space="preserve"> </w:t>
      </w:r>
      <w:r w:rsidR="002C6D61" w:rsidRPr="002C6D61">
        <w:rPr>
          <w:rFonts w:cs="Arial"/>
          <w:szCs w:val="20"/>
          <w:lang w:eastAsia="pl-PL"/>
        </w:rPr>
        <w:t>Jeżeli Wykonawca zaoferuje termin realizacji wynoszący:</w:t>
      </w:r>
    </w:p>
    <w:p w14:paraId="1CE58249" w14:textId="77777777" w:rsidR="002C6D61" w:rsidRPr="002C6D61" w:rsidRDefault="002C6D61" w:rsidP="003920A1">
      <w:pPr>
        <w:widowControl w:val="0"/>
        <w:numPr>
          <w:ilvl w:val="0"/>
          <w:numId w:val="66"/>
        </w:numPr>
        <w:ind w:left="1418" w:hanging="284"/>
        <w:rPr>
          <w:rFonts w:cs="Arial"/>
          <w:szCs w:val="20"/>
          <w:lang w:eastAsia="pl-PL"/>
        </w:rPr>
      </w:pPr>
      <w:r w:rsidRPr="002C6D61">
        <w:rPr>
          <w:rFonts w:cs="Arial"/>
          <w:szCs w:val="20"/>
          <w:lang w:eastAsia="pl-PL"/>
        </w:rPr>
        <w:t xml:space="preserve">od 1 do 5  tygodni - </w:t>
      </w:r>
      <w:r w:rsidRPr="002C6D61">
        <w:rPr>
          <w:rFonts w:cs="Arial"/>
          <w:b/>
          <w:szCs w:val="20"/>
          <w:lang w:eastAsia="pl-PL"/>
        </w:rPr>
        <w:t xml:space="preserve"> otrzyma 20 pkt.</w:t>
      </w:r>
      <w:r w:rsidRPr="002C6D61">
        <w:rPr>
          <w:rFonts w:cs="Arial"/>
          <w:szCs w:val="20"/>
          <w:lang w:eastAsia="pl-PL"/>
        </w:rPr>
        <w:t xml:space="preserve"> </w:t>
      </w:r>
    </w:p>
    <w:p w14:paraId="7A78EE85" w14:textId="77777777" w:rsidR="002C6D61" w:rsidRPr="002C6D61" w:rsidRDefault="002C6D61" w:rsidP="003920A1">
      <w:pPr>
        <w:widowControl w:val="0"/>
        <w:numPr>
          <w:ilvl w:val="0"/>
          <w:numId w:val="66"/>
        </w:numPr>
        <w:ind w:left="1418" w:hanging="284"/>
        <w:rPr>
          <w:rFonts w:cs="Arial"/>
          <w:szCs w:val="20"/>
          <w:lang w:eastAsia="pl-PL"/>
        </w:rPr>
      </w:pPr>
      <w:r w:rsidRPr="002C6D61">
        <w:rPr>
          <w:rFonts w:cs="Arial"/>
          <w:szCs w:val="20"/>
          <w:lang w:eastAsia="pl-PL"/>
        </w:rPr>
        <w:t xml:space="preserve">od 6 do 10  tygodni -  otrzyma 15 pkt. </w:t>
      </w:r>
    </w:p>
    <w:p w14:paraId="68713C35" w14:textId="68F42167" w:rsidR="002C6D61" w:rsidRPr="002C6D61" w:rsidRDefault="002C6D61" w:rsidP="003920A1">
      <w:pPr>
        <w:widowControl w:val="0"/>
        <w:numPr>
          <w:ilvl w:val="0"/>
          <w:numId w:val="66"/>
        </w:numPr>
        <w:ind w:left="1418" w:hanging="284"/>
        <w:rPr>
          <w:rFonts w:cs="Arial"/>
          <w:szCs w:val="20"/>
          <w:lang w:eastAsia="pl-PL"/>
        </w:rPr>
      </w:pPr>
      <w:r w:rsidRPr="002C6D61">
        <w:rPr>
          <w:rFonts w:cs="Arial"/>
          <w:szCs w:val="20"/>
          <w:lang w:eastAsia="pl-PL"/>
        </w:rPr>
        <w:t xml:space="preserve">od 11 do 14  tygodni -  otrzyma 10 pkt. </w:t>
      </w:r>
    </w:p>
    <w:p w14:paraId="3DB06FB3" w14:textId="30B01E14" w:rsidR="002C6D61" w:rsidRDefault="002C6D61" w:rsidP="003920A1">
      <w:pPr>
        <w:widowControl w:val="0"/>
        <w:numPr>
          <w:ilvl w:val="0"/>
          <w:numId w:val="66"/>
        </w:numPr>
        <w:ind w:left="1418" w:hanging="284"/>
        <w:rPr>
          <w:rFonts w:cs="Arial"/>
          <w:szCs w:val="20"/>
          <w:lang w:eastAsia="pl-PL"/>
        </w:rPr>
      </w:pPr>
      <w:r w:rsidRPr="002C6D61">
        <w:rPr>
          <w:rFonts w:cs="Arial"/>
          <w:szCs w:val="20"/>
          <w:lang w:eastAsia="pl-PL"/>
        </w:rPr>
        <w:t xml:space="preserve">wymagany termin realizacji (tj. do 15 tygodni - </w:t>
      </w:r>
      <w:r w:rsidRPr="002C6D61">
        <w:rPr>
          <w:rFonts w:cs="Arial"/>
          <w:b/>
          <w:szCs w:val="20"/>
          <w:lang w:eastAsia="pl-PL"/>
        </w:rPr>
        <w:t>otrzyma 0 pkt.</w:t>
      </w:r>
      <w:r w:rsidRPr="002C6D61">
        <w:rPr>
          <w:rFonts w:cs="Arial"/>
          <w:szCs w:val="20"/>
          <w:lang w:eastAsia="pl-PL"/>
        </w:rPr>
        <w:t xml:space="preserve"> </w:t>
      </w:r>
    </w:p>
    <w:p w14:paraId="0DC18C22" w14:textId="03FDB381" w:rsidR="00CC568A" w:rsidRPr="006447F1" w:rsidRDefault="00CC568A" w:rsidP="003920A1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 w:rsidR="00CA5522">
        <w:rPr>
          <w:rFonts w:eastAsia="Palatino Linotype" w:cs="Arial"/>
          <w:szCs w:val="20"/>
        </w:rPr>
        <w:t>15</w:t>
      </w:r>
      <w:r w:rsidRPr="00DE5458">
        <w:rPr>
          <w:rFonts w:eastAsia="Palatino Linotype" w:cs="Arial"/>
          <w:szCs w:val="20"/>
        </w:rPr>
        <w:t xml:space="preserve"> </w:t>
      </w:r>
      <w:r w:rsidR="00CA5522">
        <w:rPr>
          <w:rFonts w:eastAsia="Palatino Linotype" w:cs="Arial"/>
          <w:szCs w:val="20"/>
        </w:rPr>
        <w:t>tygo</w:t>
      </w:r>
      <w:r w:rsidRPr="00DE5458">
        <w:rPr>
          <w:rFonts w:eastAsia="Palatino Linotype" w:cs="Arial"/>
          <w:szCs w:val="20"/>
        </w:rPr>
        <w:t>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5529A641" w14:textId="77777777" w:rsidR="00CC568A" w:rsidRPr="006447F1" w:rsidRDefault="00CC568A" w:rsidP="003920A1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5D5BC606" w:rsidR="00CC568A" w:rsidRPr="006447F1" w:rsidRDefault="00CC568A" w:rsidP="003920A1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</w:t>
      </w:r>
      <w:r w:rsidR="002C6D61">
        <w:rPr>
          <w:rFonts w:eastAsia="Palatino Linotype" w:cs="Arial"/>
          <w:szCs w:val="20"/>
        </w:rPr>
        <w:t>tygodnie</w:t>
      </w:r>
      <w:r w:rsidRPr="006447F1">
        <w:rPr>
          <w:rFonts w:eastAsia="Palatino Linotype" w:cs="Arial"/>
          <w:szCs w:val="20"/>
        </w:rPr>
        <w:t xml:space="preserve"> potrzebne na zrealizowanie zamówienia, licząc od daty </w:t>
      </w:r>
      <w:r w:rsidR="005A065D">
        <w:rPr>
          <w:rFonts w:eastAsia="Palatino Linotype" w:cs="Arial"/>
          <w:szCs w:val="20"/>
        </w:rPr>
        <w:t>zawarcia umowy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4935EF6" w14:textId="45B2899F" w:rsidR="00CC568A" w:rsidRPr="001557AC" w:rsidRDefault="00CC568A" w:rsidP="003920A1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 xml:space="preserve">W przypadku podania terminu w niepełnych </w:t>
      </w:r>
      <w:r w:rsidR="002C6D61">
        <w:rPr>
          <w:rFonts w:eastAsia="Palatino Linotype" w:cs="Arial"/>
          <w:szCs w:val="20"/>
        </w:rPr>
        <w:t>tygo</w:t>
      </w:r>
      <w:r w:rsidRPr="006447F1">
        <w:rPr>
          <w:rFonts w:eastAsia="Palatino Linotype" w:cs="Arial"/>
          <w:szCs w:val="20"/>
        </w:rPr>
        <w:t xml:space="preserve">dniach np. </w:t>
      </w:r>
      <w:r w:rsidR="002C6D61">
        <w:rPr>
          <w:rFonts w:eastAsia="Palatino Linotype" w:cs="Arial"/>
          <w:szCs w:val="20"/>
        </w:rPr>
        <w:t>2</w:t>
      </w:r>
      <w:r w:rsidRPr="006447F1">
        <w:rPr>
          <w:rFonts w:eastAsia="Palatino Linotype" w:cs="Arial"/>
          <w:szCs w:val="20"/>
        </w:rPr>
        <w:t xml:space="preserve">,5 </w:t>
      </w:r>
      <w:r w:rsidR="002C6D61">
        <w:rPr>
          <w:rFonts w:eastAsia="Palatino Linotype" w:cs="Arial"/>
          <w:szCs w:val="20"/>
        </w:rPr>
        <w:t>tygo</w:t>
      </w:r>
      <w:r w:rsidRPr="006447F1">
        <w:rPr>
          <w:rFonts w:eastAsia="Palatino Linotype" w:cs="Arial"/>
          <w:szCs w:val="20"/>
        </w:rPr>
        <w:t xml:space="preserve">dnia, Zamawiający do celów punktacji zaokrągli podany termin w górę do pełnych </w:t>
      </w:r>
      <w:r w:rsidR="002C6D61">
        <w:rPr>
          <w:rFonts w:eastAsia="Palatino Linotype" w:cs="Arial"/>
          <w:szCs w:val="20"/>
        </w:rPr>
        <w:t>tygo</w:t>
      </w:r>
      <w:r w:rsidRPr="006447F1">
        <w:rPr>
          <w:rFonts w:eastAsia="Palatino Linotype" w:cs="Arial"/>
          <w:szCs w:val="20"/>
        </w:rPr>
        <w:t xml:space="preserve">dni (np. podanie terminu </w:t>
      </w:r>
      <w:r w:rsidR="002C6D61">
        <w:rPr>
          <w:rFonts w:eastAsia="Palatino Linotype" w:cs="Arial"/>
          <w:szCs w:val="20"/>
        </w:rPr>
        <w:t>2</w:t>
      </w:r>
      <w:r w:rsidRPr="006447F1">
        <w:rPr>
          <w:rFonts w:eastAsia="Palatino Linotype" w:cs="Arial"/>
          <w:szCs w:val="20"/>
        </w:rPr>
        <w:t xml:space="preserve">,5 </w:t>
      </w:r>
      <w:r w:rsidR="001557AC">
        <w:rPr>
          <w:rFonts w:eastAsia="Palatino Linotype" w:cs="Arial"/>
          <w:szCs w:val="20"/>
        </w:rPr>
        <w:t>tygod</w:t>
      </w:r>
      <w:r w:rsidR="001557AC" w:rsidRPr="006447F1">
        <w:rPr>
          <w:rFonts w:eastAsia="Palatino Linotype" w:cs="Arial"/>
          <w:szCs w:val="20"/>
        </w:rPr>
        <w:t>ni</w:t>
      </w:r>
      <w:r w:rsidRPr="006447F1">
        <w:rPr>
          <w:rFonts w:eastAsia="Palatino Linotype" w:cs="Arial"/>
          <w:szCs w:val="20"/>
        </w:rPr>
        <w:t xml:space="preserve"> – Zamawiający zaokrągli termin w górę do </w:t>
      </w:r>
      <w:r w:rsidR="002C6D61">
        <w:rPr>
          <w:rFonts w:eastAsia="Palatino Linotype" w:cs="Arial"/>
          <w:szCs w:val="20"/>
        </w:rPr>
        <w:t>3</w:t>
      </w:r>
      <w:r w:rsidRPr="006447F1">
        <w:rPr>
          <w:rFonts w:eastAsia="Palatino Linotype" w:cs="Arial"/>
          <w:szCs w:val="20"/>
        </w:rPr>
        <w:t xml:space="preserve"> </w:t>
      </w:r>
      <w:r w:rsidR="002C6D61">
        <w:rPr>
          <w:rFonts w:eastAsia="Palatino Linotype" w:cs="Arial"/>
          <w:szCs w:val="20"/>
        </w:rPr>
        <w:t>tygo</w:t>
      </w:r>
      <w:r w:rsidRPr="006447F1">
        <w:rPr>
          <w:rFonts w:eastAsia="Palatino Linotype" w:cs="Arial"/>
          <w:szCs w:val="20"/>
        </w:rPr>
        <w:t>dni);</w:t>
      </w:r>
    </w:p>
    <w:p w14:paraId="6D566AE2" w14:textId="274F53F1" w:rsidR="001557AC" w:rsidRDefault="001557AC" w:rsidP="001557AC">
      <w:pPr>
        <w:widowControl w:val="0"/>
        <w:rPr>
          <w:rFonts w:eastAsia="Palatino Linotype" w:cs="Arial"/>
          <w:color w:val="000000"/>
          <w:szCs w:val="20"/>
          <w:lang w:eastAsia="pl-PL"/>
        </w:rPr>
      </w:pPr>
    </w:p>
    <w:p w14:paraId="29541780" w14:textId="77777777" w:rsidR="001557AC" w:rsidRPr="008950EA" w:rsidRDefault="001557AC" w:rsidP="001557AC">
      <w:pPr>
        <w:widowControl w:val="0"/>
        <w:rPr>
          <w:rFonts w:eastAsia="Palatino Linotype" w:cs="Arial"/>
          <w:color w:val="000000"/>
          <w:szCs w:val="20"/>
          <w:lang w:eastAsia="pl-PL"/>
        </w:rPr>
      </w:pPr>
    </w:p>
    <w:p w14:paraId="4CA5E368" w14:textId="77777777" w:rsidR="008950EA" w:rsidRPr="00CC568A" w:rsidRDefault="008950EA" w:rsidP="003920A1">
      <w:pPr>
        <w:widowControl w:val="0"/>
        <w:ind w:left="1418" w:firstLine="0"/>
        <w:rPr>
          <w:rFonts w:eastAsia="Palatino Linotype" w:cs="Arial"/>
          <w:color w:val="000000"/>
          <w:szCs w:val="20"/>
          <w:lang w:eastAsia="pl-PL"/>
        </w:rPr>
      </w:pPr>
    </w:p>
    <w:p w14:paraId="24EDEF81" w14:textId="77777777" w:rsidR="008950EA" w:rsidRPr="008950EA" w:rsidRDefault="008950EA" w:rsidP="008950EA">
      <w:pPr>
        <w:numPr>
          <w:ilvl w:val="0"/>
          <w:numId w:val="31"/>
        </w:numPr>
        <w:tabs>
          <w:tab w:val="num" w:pos="360"/>
        </w:tabs>
        <w:spacing w:before="240" w:after="60"/>
        <w:ind w:left="1134" w:hanging="283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8950EA">
        <w:rPr>
          <w:rFonts w:eastAsia="Times New Roman" w:cs="Times New Roman"/>
          <w:bCs/>
          <w:iCs/>
          <w:szCs w:val="20"/>
          <w:lang w:val="x-none" w:eastAsia="x-none"/>
        </w:rPr>
        <w:lastRenderedPageBreak/>
        <w:t xml:space="preserve">Zasady przyznawania punktów w kryterium </w:t>
      </w:r>
      <w:r w:rsidRPr="008950EA">
        <w:rPr>
          <w:rFonts w:eastAsia="Times New Roman" w:cs="Times New Roman"/>
          <w:b/>
          <w:bCs/>
          <w:iCs/>
          <w:szCs w:val="20"/>
          <w:lang w:val="x-none" w:eastAsia="x-none"/>
        </w:rPr>
        <w:t>„</w:t>
      </w:r>
      <w:r w:rsidRPr="008950EA">
        <w:rPr>
          <w:rFonts w:eastAsia="Times New Roman" w:cs="Times New Roman"/>
          <w:b/>
          <w:bCs/>
          <w:iCs/>
          <w:szCs w:val="20"/>
          <w:lang w:eastAsia="x-none"/>
        </w:rPr>
        <w:t xml:space="preserve">termin </w:t>
      </w:r>
      <w:r w:rsidRPr="008950EA">
        <w:rPr>
          <w:rFonts w:eastAsia="Times New Roman" w:cs="Times New Roman"/>
          <w:b/>
          <w:bCs/>
          <w:iCs/>
          <w:szCs w:val="20"/>
          <w:lang w:val="x-none" w:eastAsia="x-none"/>
        </w:rPr>
        <w:t>gwarancja (G)”:</w:t>
      </w:r>
    </w:p>
    <w:p w14:paraId="698F20E6" w14:textId="77777777" w:rsidR="001557AC" w:rsidRDefault="008950EA" w:rsidP="008950EA">
      <w:pPr>
        <w:pStyle w:val="Nagwek4"/>
        <w:numPr>
          <w:ilvl w:val="0"/>
          <w:numId w:val="0"/>
        </w:numPr>
        <w:ind w:left="1134"/>
      </w:pPr>
      <w:r w:rsidRPr="00CC568A">
        <w:t xml:space="preserve">Zamawiający w ramach tego kryterium przyzna maksymalnie </w:t>
      </w:r>
      <w:r>
        <w:rPr>
          <w:lang w:val="pl-PL"/>
        </w:rPr>
        <w:t>2</w:t>
      </w:r>
      <w:r w:rsidRPr="00CC568A">
        <w:t>0 pkt.</w:t>
      </w:r>
      <w:r>
        <w:rPr>
          <w:lang w:val="pl-PL"/>
        </w:rPr>
        <w:t xml:space="preserve"> </w:t>
      </w:r>
      <w:r w:rsidRPr="00CC568A">
        <w:t xml:space="preserve">Zgodnie z warunkami SWZ, </w:t>
      </w:r>
      <w:r>
        <w:rPr>
          <w:lang w:val="pl-PL"/>
        </w:rPr>
        <w:t>minimalny</w:t>
      </w:r>
      <w:r w:rsidRPr="00CC568A">
        <w:t xml:space="preserve"> wymagany termin </w:t>
      </w:r>
      <w:r>
        <w:rPr>
          <w:lang w:val="pl-PL"/>
        </w:rPr>
        <w:t xml:space="preserve">gwarancji </w:t>
      </w:r>
      <w:r w:rsidRPr="00CC568A">
        <w:t xml:space="preserve">wynosi: </w:t>
      </w:r>
      <w:r w:rsidRPr="009F37CD">
        <w:rPr>
          <w:b/>
          <w:lang w:val="pl-PL"/>
        </w:rPr>
        <w:t>12 m-cy</w:t>
      </w:r>
      <w:r w:rsidRPr="009F37CD">
        <w:rPr>
          <w:b/>
        </w:rPr>
        <w:t>.</w:t>
      </w:r>
      <w:r w:rsidRPr="00CC568A">
        <w:t xml:space="preserve"> </w:t>
      </w:r>
    </w:p>
    <w:p w14:paraId="29E46118" w14:textId="629E2F72" w:rsidR="008950EA" w:rsidRDefault="008950EA" w:rsidP="008950EA">
      <w:pPr>
        <w:pStyle w:val="Nagwek4"/>
        <w:numPr>
          <w:ilvl w:val="0"/>
          <w:numId w:val="0"/>
        </w:numPr>
        <w:ind w:left="1134"/>
      </w:pPr>
      <w:r w:rsidRPr="00CC568A">
        <w:t>Ocena dla tego kryterium będzie obliczana na podstawie złożonego przez Wykonawcę oświadczenia w formularzu oferty, stanowiącym załącznik nr 1A do SWZ.</w:t>
      </w:r>
      <w:r w:rsidRPr="008950EA">
        <w:rPr>
          <w:lang w:val="pl-PL"/>
        </w:rPr>
        <w:t xml:space="preserve">  </w:t>
      </w:r>
      <w:r w:rsidRPr="008950EA">
        <w:t>Punkty za kryterium „</w:t>
      </w:r>
      <w:r w:rsidRPr="008950EA">
        <w:rPr>
          <w:lang w:val="pl-PL"/>
        </w:rPr>
        <w:t>T</w:t>
      </w:r>
      <w:r w:rsidRPr="008950EA">
        <w:t xml:space="preserve">ermin </w:t>
      </w:r>
      <w:r>
        <w:rPr>
          <w:lang w:val="pl-PL"/>
        </w:rPr>
        <w:t>gwarancji</w:t>
      </w:r>
      <w:r w:rsidRPr="008950EA">
        <w:t>” zostaną przyznane w następujący sposób:</w:t>
      </w:r>
    </w:p>
    <w:p w14:paraId="31EB165D" w14:textId="20DBFF66" w:rsidR="008950EA" w:rsidRPr="008950EA" w:rsidRDefault="008950EA" w:rsidP="008950EA">
      <w:pPr>
        <w:tabs>
          <w:tab w:val="left" w:pos="284"/>
        </w:tabs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J</w:t>
      </w:r>
      <w:r w:rsidRPr="008950EA">
        <w:rPr>
          <w:rFonts w:cs="Arial"/>
          <w:color w:val="000000" w:themeColor="text1"/>
          <w:szCs w:val="20"/>
          <w:lang w:eastAsia="pl-PL"/>
        </w:rPr>
        <w:t>eżeli Wykonawca zaoferuje dłuższą gwarancję o co najmniej  12 m-cy od wymaganego minimalnego terminu gwarancji (tj. 12 miesięcy) otrzyma punkty w wysokości:</w:t>
      </w:r>
    </w:p>
    <w:p w14:paraId="22C5B259" w14:textId="3BBCFF6E" w:rsidR="008950EA" w:rsidRP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 xml:space="preserve">za termin gwarancji dłuższy </w:t>
      </w:r>
      <w:r w:rsidRPr="008950EA">
        <w:rPr>
          <w:rFonts w:cs="Arial"/>
          <w:b/>
          <w:color w:val="000000" w:themeColor="text1"/>
          <w:szCs w:val="20"/>
          <w:lang w:eastAsia="pl-PL"/>
        </w:rPr>
        <w:t>o co najmniej 12 miesięcy</w:t>
      </w:r>
      <w:r w:rsidRPr="008950EA">
        <w:rPr>
          <w:rFonts w:cs="Arial"/>
          <w:color w:val="000000" w:themeColor="text1"/>
          <w:szCs w:val="20"/>
          <w:lang w:eastAsia="pl-PL"/>
        </w:rPr>
        <w:t xml:space="preserve"> od wymaganego minimalnego terminu gwarancji (tj. 12 +12=</w:t>
      </w:r>
      <w:r w:rsidRPr="008950EA">
        <w:rPr>
          <w:rFonts w:cs="Arial"/>
          <w:b/>
          <w:bCs/>
          <w:color w:val="000000" w:themeColor="text1"/>
          <w:szCs w:val="20"/>
          <w:lang w:eastAsia="pl-PL"/>
        </w:rPr>
        <w:t>24 miesiące</w:t>
      </w:r>
      <w:r w:rsidRPr="008950EA">
        <w:rPr>
          <w:rFonts w:cs="Arial"/>
          <w:color w:val="000000" w:themeColor="text1"/>
          <w:szCs w:val="20"/>
          <w:lang w:eastAsia="pl-PL"/>
        </w:rPr>
        <w:t xml:space="preserve">) </w:t>
      </w:r>
      <w:r w:rsidRPr="008950EA">
        <w:rPr>
          <w:rFonts w:cs="Arial"/>
          <w:b/>
          <w:bCs/>
          <w:color w:val="000000" w:themeColor="text1"/>
          <w:szCs w:val="20"/>
          <w:lang w:eastAsia="pl-PL"/>
        </w:rPr>
        <w:t>otrzyma 10 pkt,</w:t>
      </w:r>
    </w:p>
    <w:p w14:paraId="1557BB87" w14:textId="6AA58CC3" w:rsidR="008950EA" w:rsidRP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 xml:space="preserve">za termin gwarancji dłuższy o </w:t>
      </w:r>
      <w:r w:rsidRPr="008950EA">
        <w:rPr>
          <w:rFonts w:cs="Arial"/>
          <w:b/>
          <w:color w:val="000000" w:themeColor="text1"/>
          <w:szCs w:val="20"/>
          <w:lang w:eastAsia="pl-PL"/>
        </w:rPr>
        <w:t>co najmniej 24 miesiące</w:t>
      </w:r>
      <w:r w:rsidRPr="008950EA">
        <w:rPr>
          <w:rFonts w:cs="Arial"/>
          <w:color w:val="000000" w:themeColor="text1"/>
          <w:szCs w:val="20"/>
          <w:lang w:eastAsia="pl-PL"/>
        </w:rPr>
        <w:t xml:space="preserve"> od wymaganego minimalnego terminu gwarancji (tj. 12+24=</w:t>
      </w:r>
      <w:r w:rsidRPr="008950EA">
        <w:rPr>
          <w:rFonts w:cs="Arial"/>
          <w:b/>
          <w:bCs/>
          <w:color w:val="000000" w:themeColor="text1"/>
          <w:szCs w:val="20"/>
          <w:lang w:eastAsia="pl-PL"/>
        </w:rPr>
        <w:t>36 miesięcy</w:t>
      </w:r>
      <w:r w:rsidRPr="008950EA">
        <w:rPr>
          <w:rFonts w:cs="Arial"/>
          <w:color w:val="000000" w:themeColor="text1"/>
          <w:szCs w:val="20"/>
          <w:lang w:eastAsia="pl-PL"/>
        </w:rPr>
        <w:t xml:space="preserve">) </w:t>
      </w:r>
      <w:r w:rsidRPr="008950EA">
        <w:rPr>
          <w:rFonts w:cs="Arial"/>
          <w:b/>
          <w:bCs/>
          <w:color w:val="000000" w:themeColor="text1"/>
          <w:szCs w:val="20"/>
          <w:lang w:eastAsia="pl-PL"/>
        </w:rPr>
        <w:t>otrzyma 20 pkt;</w:t>
      </w:r>
    </w:p>
    <w:p w14:paraId="64343C23" w14:textId="730205E0" w:rsidR="008950EA" w:rsidRP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>jeżeli Wykonawca zaoferuje minimalny wymagany zgodnie z SWZ termin gwarancji – otrzyma 0 pkt w tym kryterium oceny ofert;</w:t>
      </w:r>
    </w:p>
    <w:p w14:paraId="68362823" w14:textId="521E174C" w:rsid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>w przypadku wskazania przez Wykonawcę okresu gwarancji w wymiarze innym niż pełny miesiąc (np. 12,5 m-ca), Zamawiający do celów punktacji ofert zaokrągli wskazany okres w dół</w:t>
      </w:r>
      <w:r w:rsidR="009450F9" w:rsidRPr="009450F9">
        <w:rPr>
          <w:rFonts w:cs="Arial"/>
          <w:color w:val="000000" w:themeColor="text1"/>
          <w:szCs w:val="20"/>
          <w:lang w:eastAsia="pl-PL"/>
        </w:rPr>
        <w:t xml:space="preserve"> odpowiednio do </w:t>
      </w:r>
      <w:r w:rsidR="009450F9">
        <w:rPr>
          <w:rFonts w:cs="Arial"/>
          <w:color w:val="000000" w:themeColor="text1"/>
          <w:szCs w:val="20"/>
          <w:lang w:eastAsia="pl-PL"/>
        </w:rPr>
        <w:t>12 m-cy</w:t>
      </w:r>
      <w:r w:rsidRPr="008950EA">
        <w:rPr>
          <w:rFonts w:cs="Arial"/>
          <w:color w:val="000000" w:themeColor="text1"/>
          <w:szCs w:val="20"/>
          <w:lang w:eastAsia="pl-PL"/>
        </w:rPr>
        <w:t>;</w:t>
      </w:r>
    </w:p>
    <w:p w14:paraId="28B7A09F" w14:textId="2640D14C" w:rsidR="008950EA" w:rsidRP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>w przypadku zaoferowania przez Wykonawcę okresu gwarancji w wymiarze innym niż wielokrotność 12 m-cy, Zamawiający do celów punktacji ofert zaokrągli wskazany okres w dół odpowiednio do 24 lub 36 miesięcy;</w:t>
      </w:r>
    </w:p>
    <w:p w14:paraId="4A5D0AB3" w14:textId="714675ED" w:rsid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 w:hanging="426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 xml:space="preserve">w przypadku wskazania okresu gwarancji dłuższego niż 36 miesięcy, Zamawiający przyzna Wykonawcy maksymalną ilość punktów, tj. 20; </w:t>
      </w:r>
    </w:p>
    <w:p w14:paraId="6E705B01" w14:textId="448CDFAB" w:rsid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 w:hanging="426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>niezłożenie oświadczenia o okresie gwarancji lub jeżeli zaoferowany w ofercie okres gwarancji będzie krótszy od wymaganego w SWZ minimalnego okresu gwarancji, oferta zostanie odrzucona jako niezgodna z treścią SWZ;</w:t>
      </w:r>
    </w:p>
    <w:p w14:paraId="4955F737" w14:textId="782F4737" w:rsidR="008950EA" w:rsidRPr="00F073D5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 w:hanging="426"/>
        <w:rPr>
          <w:rFonts w:cs="Arial"/>
          <w:color w:val="000000" w:themeColor="text1"/>
          <w:szCs w:val="20"/>
          <w:lang w:eastAsia="pl-PL"/>
        </w:rPr>
      </w:pPr>
      <w:r w:rsidRPr="00F073D5">
        <w:rPr>
          <w:rFonts w:eastAsia="Arial Unicode MS" w:cs="Arial"/>
          <w:color w:val="000000" w:themeColor="text1"/>
          <w:szCs w:val="20"/>
          <w:lang w:eastAsia="pl-PL"/>
        </w:rPr>
        <w:t>termin gwarancji należy określić w pełnych miesiącach, wartość należy podać liczbowo i słownie. W przypadku rozbieżności w zakresie okresu gwarancji podanego liczbowo i słownie, Zamawiający za obowiązujący uzna termin gwarancji podany słownie;</w:t>
      </w:r>
    </w:p>
    <w:p w14:paraId="31CFC1C5" w14:textId="5ADB567E" w:rsidR="009E363B" w:rsidRPr="000B1A68" w:rsidRDefault="000A37EA" w:rsidP="00037193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="008950EA">
        <w:rPr>
          <w:b/>
        </w:rPr>
        <w:t>+ termin gwarancji.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69AF824A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</w:t>
      </w:r>
      <w:r w:rsidR="00657596">
        <w:t xml:space="preserve">w </w:t>
      </w:r>
      <w:r w:rsidR="00227125">
        <w:t xml:space="preserve">zakresie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575EC4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lastRenderedPageBreak/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F073D5">
      <w:pPr>
        <w:pStyle w:val="Nagwek2"/>
        <w:keepNext w:val="0"/>
        <w:widowControl w:val="0"/>
        <w:numPr>
          <w:ilvl w:val="0"/>
          <w:numId w:val="61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6853D5CE" w:rsidR="003636A2" w:rsidRPr="00334D54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B15A5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B15A5E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B15A5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48CBFD00" w:rsidR="00F85C46" w:rsidRDefault="00F85C46" w:rsidP="00F073D5">
      <w:pPr>
        <w:pStyle w:val="Nagwek3"/>
        <w:widowControl w:val="0"/>
        <w:numPr>
          <w:ilvl w:val="0"/>
          <w:numId w:val="62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ED1083">
      <w:pPr>
        <w:pStyle w:val="Nagwek1"/>
      </w:pPr>
      <w:bookmarkStart w:id="29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9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33E2390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="00150079" w:rsidRPr="00150079">
        <w:rPr>
          <w:rFonts w:ascii="Bahnschrift" w:hAnsi="Bahnschrift"/>
          <w:sz w:val="20"/>
          <w:lang w:val="pl-PL" w:eastAsia="x-none"/>
        </w:rPr>
        <w:t>w zakresie postępowania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7F2E2A48" w14:textId="69261DCC" w:rsidR="00ED3A84" w:rsidRPr="001A3180" w:rsidRDefault="001A3180" w:rsidP="00B9586F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64BD44C8" w:rsidR="001A3180" w:rsidRDefault="001A3180" w:rsidP="00F36A39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C048E4A" w14:textId="77777777" w:rsidR="00096E8A" w:rsidRPr="00096E8A" w:rsidRDefault="00096E8A" w:rsidP="00096E8A">
      <w:pPr>
        <w:pStyle w:val="Tekstpodstawowy"/>
        <w:rPr>
          <w:lang w:val="pl-PL" w:eastAsia="x-none"/>
        </w:rPr>
      </w:pPr>
    </w:p>
    <w:p w14:paraId="384B0ABA" w14:textId="21D29A39" w:rsidR="00F85C46" w:rsidRDefault="00F85C46" w:rsidP="00ED1083">
      <w:pPr>
        <w:pStyle w:val="Nagwek1"/>
      </w:pPr>
      <w:bookmarkStart w:id="30" w:name="_Toc99351192"/>
      <w:r w:rsidRPr="005B5BDF">
        <w:lastRenderedPageBreak/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0"/>
    </w:p>
    <w:p w14:paraId="78D2F2E9" w14:textId="77777777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D1083">
      <w:pPr>
        <w:pStyle w:val="Nagwek1"/>
      </w:pPr>
      <w:bookmarkStart w:id="31" w:name="_Toc99351193"/>
      <w:r w:rsidRPr="005B5BDF">
        <w:t>Informacje dodatkowe.</w:t>
      </w:r>
      <w:bookmarkEnd w:id="31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lastRenderedPageBreak/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3A395A6E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233649">
        <w:rPr>
          <w:b/>
          <w:lang w:val="pl-PL"/>
        </w:rPr>
        <w:t>50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233649" w:rsidRPr="00233649">
        <w:rPr>
          <w:b/>
        </w:rPr>
        <w:t>Dostawa kalorymetru skaningowego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lastRenderedPageBreak/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06170BC8" w:rsidR="00F85C46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 xml:space="preserve">szczególności </w:t>
      </w:r>
      <w:r w:rsidRPr="005B5BDF">
        <w:rPr>
          <w:rFonts w:cs="Arial"/>
          <w:szCs w:val="20"/>
          <w:lang w:eastAsia="ar-SA"/>
        </w:rPr>
        <w:lastRenderedPageBreak/>
        <w:t>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31C47">
      <w:footerReference w:type="default" r:id="rId34"/>
      <w:headerReference w:type="first" r:id="rId35"/>
      <w:footerReference w:type="first" r:id="rId36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D4EA2" w:rsidRDefault="00CD4EA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D4EA2" w:rsidRDefault="00CD4EA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480C0BF5" w:rsidR="00CD4EA2" w:rsidRPr="00901724" w:rsidRDefault="00CD4EA2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 w:rsidR="00042ADA">
          <w:rPr>
            <w:rFonts w:eastAsiaTheme="majorEastAsia" w:cstheme="majorBidi"/>
            <w:sz w:val="16"/>
            <w:szCs w:val="16"/>
          </w:rPr>
          <w:t>3</w:t>
        </w:r>
      </w:p>
    </w:sdtContent>
  </w:sdt>
  <w:p w14:paraId="14736680" w14:textId="4B47D4B0" w:rsidR="00CD4EA2" w:rsidRPr="00ED1083" w:rsidRDefault="00CD4EA2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DD393" w14:textId="373EE495" w:rsidR="00CD4EA2" w:rsidRPr="00F84EF3" w:rsidRDefault="00CD4EA2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4416" behindDoc="1" locked="0" layoutInCell="1" allowOverlap="1" wp14:anchorId="396CDC2E" wp14:editId="6BDB9042">
          <wp:simplePos x="0" y="0"/>
          <wp:positionH relativeFrom="page">
            <wp:posOffset>79375</wp:posOffset>
          </wp:positionH>
          <wp:positionV relativeFrom="page">
            <wp:posOffset>9457690</wp:posOffset>
          </wp:positionV>
          <wp:extent cx="3259455" cy="106680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4656" behindDoc="1" locked="0" layoutInCell="1" allowOverlap="1" wp14:anchorId="039F3E32" wp14:editId="30D580E8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0DA5C42" w14:textId="70A913D6" w:rsidR="00CD4EA2" w:rsidRPr="00602A59" w:rsidRDefault="00CD4EA2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CD4EA2" w:rsidRPr="00602A59" w:rsidRDefault="00CD4EA2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2B1871E7" w:rsidR="00CD4EA2" w:rsidRPr="00602A59" w:rsidRDefault="00CD4EA2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CD4EA2" w:rsidRPr="00602A59" w:rsidRDefault="00CD4EA2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CD4EA2" w:rsidRDefault="009F37CD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CD4EA2" w:rsidRPr="00E517F1">
        <w:rPr>
          <w:rStyle w:val="Hipercze"/>
          <w:sz w:val="16"/>
          <w:szCs w:val="16"/>
        </w:rPr>
        <w:t>www.</w:t>
      </w:r>
      <w:r w:rsidR="00CD4EA2" w:rsidRPr="00E517F1">
        <w:rPr>
          <w:rStyle w:val="Hipercze"/>
          <w:b/>
          <w:bCs/>
          <w:sz w:val="16"/>
          <w:szCs w:val="16"/>
        </w:rPr>
        <w:t>us.</w:t>
      </w:r>
      <w:r w:rsidR="00CD4EA2" w:rsidRPr="00E517F1">
        <w:rPr>
          <w:rStyle w:val="Hipercze"/>
          <w:sz w:val="16"/>
          <w:szCs w:val="16"/>
        </w:rPr>
        <w:t>edu.pl</w:t>
      </w:r>
    </w:hyperlink>
  </w:p>
  <w:p w14:paraId="72289625" w14:textId="47B43BDE" w:rsidR="00CD4EA2" w:rsidRDefault="00CD4EA2" w:rsidP="00C0411E">
    <w:pPr>
      <w:pStyle w:val="Stopka"/>
      <w:ind w:hanging="567"/>
    </w:pPr>
  </w:p>
  <w:p w14:paraId="68698B03" w14:textId="3406EA5A" w:rsidR="00CD4EA2" w:rsidRDefault="00CD4EA2" w:rsidP="00C0411E">
    <w:pPr>
      <w:pStyle w:val="Stopka"/>
      <w:ind w:hanging="567"/>
    </w:pPr>
  </w:p>
  <w:p w14:paraId="085946A1" w14:textId="77777777" w:rsidR="00CD4EA2" w:rsidRDefault="00CD4EA2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D4EA2" w:rsidRDefault="00CD4EA2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CD4EA2" w:rsidRDefault="00CD4EA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51889261" w:rsidR="00CD4EA2" w:rsidRDefault="00CD4EA2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2" w:name="_Hlk109991209"/>
    <w:bookmarkStart w:id="33" w:name="_Hlk109991210"/>
    <w:r>
      <w:rPr>
        <w:rFonts w:ascii="Calibri" w:eastAsia="Calibri" w:hAnsi="Calibri" w:cs="Times New Roman"/>
        <w:noProof/>
        <w:sz w:val="16"/>
        <w:szCs w:val="16"/>
      </w:rPr>
      <w:tab/>
    </w:r>
  </w:p>
  <w:p w14:paraId="51E14962" w14:textId="4AC906DF" w:rsidR="00CD4EA2" w:rsidRDefault="00CD4EA2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D1983C9" w14:textId="76E189A3" w:rsidR="00CD4EA2" w:rsidRDefault="00CD4EA2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CD4EA2" w:rsidRDefault="00CD4EA2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6059B8D5" w14:textId="7F6463A2" w:rsidR="00CD4EA2" w:rsidRDefault="00CD4EA2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  <w:r>
      <w:rPr>
        <w:noProof/>
        <w:lang w:eastAsia="pl-PL"/>
      </w:rPr>
      <w:drawing>
        <wp:anchor distT="0" distB="0" distL="114300" distR="114300" simplePos="0" relativeHeight="251658240" behindDoc="1" locked="1" layoutInCell="1" allowOverlap="1" wp14:anchorId="51A96193" wp14:editId="490793D2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2"/>
    <w:bookmarkEnd w:id="33"/>
  </w:p>
  <w:p w14:paraId="494F3A3B" w14:textId="77777777" w:rsidR="00CD4EA2" w:rsidRPr="00FC4A04" w:rsidRDefault="00CD4EA2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E2B60"/>
    <w:multiLevelType w:val="hybridMultilevel"/>
    <w:tmpl w:val="0DE8FE9E"/>
    <w:lvl w:ilvl="0" w:tplc="EB8E2E9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BD54A41"/>
    <w:multiLevelType w:val="hybridMultilevel"/>
    <w:tmpl w:val="7F126DF4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35037F07"/>
    <w:multiLevelType w:val="hybridMultilevel"/>
    <w:tmpl w:val="3F52B4BE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6011C9"/>
    <w:multiLevelType w:val="hybridMultilevel"/>
    <w:tmpl w:val="FEF0008E"/>
    <w:lvl w:ilvl="0" w:tplc="A512457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8"/>
  </w:num>
  <w:num w:numId="5">
    <w:abstractNumId w:val="17"/>
  </w:num>
  <w:num w:numId="6">
    <w:abstractNumId w:val="23"/>
  </w:num>
  <w:num w:numId="7">
    <w:abstractNumId w:val="10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19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19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0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9"/>
  </w:num>
  <w:num w:numId="31">
    <w:abstractNumId w:val="19"/>
  </w:num>
  <w:num w:numId="32">
    <w:abstractNumId w:val="5"/>
    <w:lvlOverride w:ilvl="0">
      <w:startOverride w:val="1"/>
    </w:lvlOverride>
  </w:num>
  <w:num w:numId="33">
    <w:abstractNumId w:val="10"/>
  </w:num>
  <w:num w:numId="34">
    <w:abstractNumId w:val="5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16"/>
  </w:num>
  <w:num w:numId="39">
    <w:abstractNumId w:val="5"/>
    <w:lvlOverride w:ilvl="0">
      <w:startOverride w:val="1"/>
    </w:lvlOverride>
  </w:num>
  <w:num w:numId="40">
    <w:abstractNumId w:val="19"/>
    <w:lvlOverride w:ilvl="0">
      <w:startOverride w:val="1"/>
    </w:lvlOverride>
  </w:num>
  <w:num w:numId="41">
    <w:abstractNumId w:val="19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19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0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6"/>
  </w:num>
  <w:num w:numId="50">
    <w:abstractNumId w:val="10"/>
    <w:lvlOverride w:ilvl="0">
      <w:startOverride w:val="1"/>
    </w:lvlOverride>
  </w:num>
  <w:num w:numId="51">
    <w:abstractNumId w:val="7"/>
  </w:num>
  <w:num w:numId="52">
    <w:abstractNumId w:val="21"/>
  </w:num>
  <w:num w:numId="53">
    <w:abstractNumId w:val="2"/>
  </w:num>
  <w:num w:numId="54">
    <w:abstractNumId w:val="10"/>
    <w:lvlOverride w:ilvl="0">
      <w:startOverride w:val="1"/>
    </w:lvlOverride>
  </w:num>
  <w:num w:numId="55">
    <w:abstractNumId w:val="19"/>
    <w:lvlOverride w:ilvl="0">
      <w:startOverride w:val="1"/>
    </w:lvlOverride>
  </w:num>
  <w:num w:numId="56">
    <w:abstractNumId w:val="20"/>
  </w:num>
  <w:num w:numId="57">
    <w:abstractNumId w:val="1"/>
  </w:num>
  <w:num w:numId="58">
    <w:abstractNumId w:val="22"/>
  </w:num>
  <w:num w:numId="59">
    <w:abstractNumId w:val="25"/>
  </w:num>
  <w:num w:numId="60">
    <w:abstractNumId w:val="26"/>
  </w:num>
  <w:num w:numId="61">
    <w:abstractNumId w:val="8"/>
  </w:num>
  <w:num w:numId="62">
    <w:abstractNumId w:val="27"/>
  </w:num>
  <w:num w:numId="63">
    <w:abstractNumId w:val="24"/>
  </w:num>
  <w:num w:numId="64">
    <w:abstractNumId w:val="4"/>
  </w:num>
  <w:num w:numId="65">
    <w:abstractNumId w:val="12"/>
  </w:num>
  <w:num w:numId="66">
    <w:abstractNumId w:val="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4894"/>
    <w:rsid w:val="0003593D"/>
    <w:rsid w:val="00037193"/>
    <w:rsid w:val="00042ADA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6054"/>
    <w:rsid w:val="00096E8A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474"/>
    <w:rsid w:val="000D5B1F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0DED"/>
    <w:rsid w:val="00111FD4"/>
    <w:rsid w:val="00113823"/>
    <w:rsid w:val="00115A66"/>
    <w:rsid w:val="00120932"/>
    <w:rsid w:val="00120996"/>
    <w:rsid w:val="00125FCF"/>
    <w:rsid w:val="0013760F"/>
    <w:rsid w:val="00141DDE"/>
    <w:rsid w:val="001463E7"/>
    <w:rsid w:val="00147280"/>
    <w:rsid w:val="00147A15"/>
    <w:rsid w:val="00150079"/>
    <w:rsid w:val="001509D7"/>
    <w:rsid w:val="00151872"/>
    <w:rsid w:val="00153116"/>
    <w:rsid w:val="00153931"/>
    <w:rsid w:val="00154FCE"/>
    <w:rsid w:val="00155256"/>
    <w:rsid w:val="001557AC"/>
    <w:rsid w:val="00155A33"/>
    <w:rsid w:val="00156FE8"/>
    <w:rsid w:val="00160F8B"/>
    <w:rsid w:val="0016280F"/>
    <w:rsid w:val="00170642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61D"/>
    <w:rsid w:val="001A7E1C"/>
    <w:rsid w:val="001B1AC0"/>
    <w:rsid w:val="001B6A6B"/>
    <w:rsid w:val="001C0347"/>
    <w:rsid w:val="001C43D0"/>
    <w:rsid w:val="001D0571"/>
    <w:rsid w:val="001D05CD"/>
    <w:rsid w:val="001D0AD6"/>
    <w:rsid w:val="001D40CF"/>
    <w:rsid w:val="001E10FA"/>
    <w:rsid w:val="001E144B"/>
    <w:rsid w:val="001E5A79"/>
    <w:rsid w:val="001F5B52"/>
    <w:rsid w:val="001F63FD"/>
    <w:rsid w:val="00200A27"/>
    <w:rsid w:val="002013DC"/>
    <w:rsid w:val="00201B3C"/>
    <w:rsid w:val="00204EFA"/>
    <w:rsid w:val="00213D90"/>
    <w:rsid w:val="00214CE5"/>
    <w:rsid w:val="002212A7"/>
    <w:rsid w:val="00221638"/>
    <w:rsid w:val="00226310"/>
    <w:rsid w:val="00227125"/>
    <w:rsid w:val="002278D2"/>
    <w:rsid w:val="00230B8E"/>
    <w:rsid w:val="00230DE9"/>
    <w:rsid w:val="002318AB"/>
    <w:rsid w:val="00231C06"/>
    <w:rsid w:val="00233649"/>
    <w:rsid w:val="0023469C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6153"/>
    <w:rsid w:val="00297357"/>
    <w:rsid w:val="00297EB3"/>
    <w:rsid w:val="002A3574"/>
    <w:rsid w:val="002A3576"/>
    <w:rsid w:val="002A4316"/>
    <w:rsid w:val="002A50F6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C6D61"/>
    <w:rsid w:val="002D273D"/>
    <w:rsid w:val="002D2F12"/>
    <w:rsid w:val="002D38E0"/>
    <w:rsid w:val="002D64F0"/>
    <w:rsid w:val="002D68B7"/>
    <w:rsid w:val="002E0E18"/>
    <w:rsid w:val="002E4CF0"/>
    <w:rsid w:val="002E7A53"/>
    <w:rsid w:val="002F2988"/>
    <w:rsid w:val="002F2ED6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3F1F"/>
    <w:rsid w:val="003144B0"/>
    <w:rsid w:val="0031456F"/>
    <w:rsid w:val="00315FAD"/>
    <w:rsid w:val="00317F1D"/>
    <w:rsid w:val="00320304"/>
    <w:rsid w:val="00321B53"/>
    <w:rsid w:val="003245CD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0A1"/>
    <w:rsid w:val="003925AC"/>
    <w:rsid w:val="003944EC"/>
    <w:rsid w:val="003950B2"/>
    <w:rsid w:val="003A026D"/>
    <w:rsid w:val="003A0DD4"/>
    <w:rsid w:val="003A6576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4E3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59ED"/>
    <w:rsid w:val="003E6CB0"/>
    <w:rsid w:val="003F714C"/>
    <w:rsid w:val="0040396D"/>
    <w:rsid w:val="00404C44"/>
    <w:rsid w:val="004054BE"/>
    <w:rsid w:val="00407FA3"/>
    <w:rsid w:val="00410DFD"/>
    <w:rsid w:val="00412239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6F8D"/>
    <w:rsid w:val="00441EC0"/>
    <w:rsid w:val="0044253C"/>
    <w:rsid w:val="004516FA"/>
    <w:rsid w:val="00455B33"/>
    <w:rsid w:val="00455E04"/>
    <w:rsid w:val="00457D79"/>
    <w:rsid w:val="0046749E"/>
    <w:rsid w:val="00467882"/>
    <w:rsid w:val="00470C6B"/>
    <w:rsid w:val="00471B27"/>
    <w:rsid w:val="00473D30"/>
    <w:rsid w:val="00473F6B"/>
    <w:rsid w:val="00475AAC"/>
    <w:rsid w:val="00477FA3"/>
    <w:rsid w:val="00481E07"/>
    <w:rsid w:val="00481FBF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2223"/>
    <w:rsid w:val="004B4CE9"/>
    <w:rsid w:val="004C0E1D"/>
    <w:rsid w:val="004C1290"/>
    <w:rsid w:val="004C15D4"/>
    <w:rsid w:val="004C1B2D"/>
    <w:rsid w:val="004C3735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9BB"/>
    <w:rsid w:val="004F5927"/>
    <w:rsid w:val="004F634F"/>
    <w:rsid w:val="004F683C"/>
    <w:rsid w:val="004F77CC"/>
    <w:rsid w:val="005149DB"/>
    <w:rsid w:val="00515101"/>
    <w:rsid w:val="00526131"/>
    <w:rsid w:val="00530CAA"/>
    <w:rsid w:val="0053656A"/>
    <w:rsid w:val="00536D6A"/>
    <w:rsid w:val="00540C8C"/>
    <w:rsid w:val="005416E8"/>
    <w:rsid w:val="005425C4"/>
    <w:rsid w:val="0054333A"/>
    <w:rsid w:val="0055201D"/>
    <w:rsid w:val="0055317F"/>
    <w:rsid w:val="00553D74"/>
    <w:rsid w:val="00556B41"/>
    <w:rsid w:val="00557CB8"/>
    <w:rsid w:val="00562402"/>
    <w:rsid w:val="005625C2"/>
    <w:rsid w:val="00562870"/>
    <w:rsid w:val="00575EC4"/>
    <w:rsid w:val="005766D5"/>
    <w:rsid w:val="0057727F"/>
    <w:rsid w:val="00581A1B"/>
    <w:rsid w:val="00584E90"/>
    <w:rsid w:val="00586657"/>
    <w:rsid w:val="00587476"/>
    <w:rsid w:val="00590944"/>
    <w:rsid w:val="00593C25"/>
    <w:rsid w:val="00594E26"/>
    <w:rsid w:val="005968E9"/>
    <w:rsid w:val="005A065D"/>
    <w:rsid w:val="005A19CF"/>
    <w:rsid w:val="005A269D"/>
    <w:rsid w:val="005A5BA2"/>
    <w:rsid w:val="005B1032"/>
    <w:rsid w:val="005B2BB0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7B56"/>
    <w:rsid w:val="005F0C33"/>
    <w:rsid w:val="005F2A5F"/>
    <w:rsid w:val="005F3A4A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6E16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625C"/>
    <w:rsid w:val="00687243"/>
    <w:rsid w:val="006873D8"/>
    <w:rsid w:val="006911E1"/>
    <w:rsid w:val="0069154A"/>
    <w:rsid w:val="00692680"/>
    <w:rsid w:val="0069426A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4C0A"/>
    <w:rsid w:val="006B713E"/>
    <w:rsid w:val="006C251D"/>
    <w:rsid w:val="006C5845"/>
    <w:rsid w:val="006C76A2"/>
    <w:rsid w:val="006C7D33"/>
    <w:rsid w:val="006D0AED"/>
    <w:rsid w:val="006D3219"/>
    <w:rsid w:val="006D37E6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3804"/>
    <w:rsid w:val="00704665"/>
    <w:rsid w:val="007051BA"/>
    <w:rsid w:val="0070524E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55E"/>
    <w:rsid w:val="007206AE"/>
    <w:rsid w:val="007213C6"/>
    <w:rsid w:val="0072185C"/>
    <w:rsid w:val="00722392"/>
    <w:rsid w:val="00722CFD"/>
    <w:rsid w:val="00724933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0F21"/>
    <w:rsid w:val="00762B2C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2A79"/>
    <w:rsid w:val="008657DF"/>
    <w:rsid w:val="00873DD6"/>
    <w:rsid w:val="00876189"/>
    <w:rsid w:val="00877825"/>
    <w:rsid w:val="00884A25"/>
    <w:rsid w:val="00886073"/>
    <w:rsid w:val="008870B9"/>
    <w:rsid w:val="00891B36"/>
    <w:rsid w:val="00891C1C"/>
    <w:rsid w:val="008950EA"/>
    <w:rsid w:val="00896AA9"/>
    <w:rsid w:val="008974DB"/>
    <w:rsid w:val="008A30C3"/>
    <w:rsid w:val="008A431F"/>
    <w:rsid w:val="008A72DD"/>
    <w:rsid w:val="008B0002"/>
    <w:rsid w:val="008B6820"/>
    <w:rsid w:val="008B7428"/>
    <w:rsid w:val="008C0FA1"/>
    <w:rsid w:val="008D0712"/>
    <w:rsid w:val="008D2094"/>
    <w:rsid w:val="008D5E0B"/>
    <w:rsid w:val="008D6FBC"/>
    <w:rsid w:val="008D7C39"/>
    <w:rsid w:val="008E0881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3402"/>
    <w:rsid w:val="00924D2D"/>
    <w:rsid w:val="009263C3"/>
    <w:rsid w:val="00927660"/>
    <w:rsid w:val="00932595"/>
    <w:rsid w:val="009332ED"/>
    <w:rsid w:val="0093436C"/>
    <w:rsid w:val="00934D7C"/>
    <w:rsid w:val="00942EA5"/>
    <w:rsid w:val="009450F9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37CD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23C51"/>
    <w:rsid w:val="00A2561E"/>
    <w:rsid w:val="00A26D36"/>
    <w:rsid w:val="00A34DB1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52"/>
    <w:rsid w:val="00A748A6"/>
    <w:rsid w:val="00A75B53"/>
    <w:rsid w:val="00A813D4"/>
    <w:rsid w:val="00A81F09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2BC6"/>
    <w:rsid w:val="00AC4774"/>
    <w:rsid w:val="00AD1DEF"/>
    <w:rsid w:val="00AD47FC"/>
    <w:rsid w:val="00AD4C8A"/>
    <w:rsid w:val="00AD7B52"/>
    <w:rsid w:val="00AE0D46"/>
    <w:rsid w:val="00AE0FC0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3B67"/>
    <w:rsid w:val="00B75EAD"/>
    <w:rsid w:val="00B7608D"/>
    <w:rsid w:val="00B76598"/>
    <w:rsid w:val="00B77470"/>
    <w:rsid w:val="00B80A4E"/>
    <w:rsid w:val="00B82F36"/>
    <w:rsid w:val="00B83965"/>
    <w:rsid w:val="00B9221C"/>
    <w:rsid w:val="00B9344D"/>
    <w:rsid w:val="00B945EF"/>
    <w:rsid w:val="00B947E3"/>
    <w:rsid w:val="00B9586F"/>
    <w:rsid w:val="00BA153A"/>
    <w:rsid w:val="00BA4B90"/>
    <w:rsid w:val="00BA4C2B"/>
    <w:rsid w:val="00BA4FE0"/>
    <w:rsid w:val="00BA558B"/>
    <w:rsid w:val="00BA5660"/>
    <w:rsid w:val="00BA58BC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E07E2"/>
    <w:rsid w:val="00BE41E2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B89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371CD"/>
    <w:rsid w:val="00C43E3C"/>
    <w:rsid w:val="00C4409F"/>
    <w:rsid w:val="00C470E9"/>
    <w:rsid w:val="00C504BD"/>
    <w:rsid w:val="00C525F3"/>
    <w:rsid w:val="00C540B8"/>
    <w:rsid w:val="00C57AEB"/>
    <w:rsid w:val="00C60D12"/>
    <w:rsid w:val="00C6398C"/>
    <w:rsid w:val="00C66027"/>
    <w:rsid w:val="00C66B22"/>
    <w:rsid w:val="00C67D73"/>
    <w:rsid w:val="00C7019D"/>
    <w:rsid w:val="00C70C06"/>
    <w:rsid w:val="00C72ACD"/>
    <w:rsid w:val="00C72EC4"/>
    <w:rsid w:val="00C736E3"/>
    <w:rsid w:val="00C75711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A5522"/>
    <w:rsid w:val="00CB38DE"/>
    <w:rsid w:val="00CB419A"/>
    <w:rsid w:val="00CC1292"/>
    <w:rsid w:val="00CC568A"/>
    <w:rsid w:val="00CC61CB"/>
    <w:rsid w:val="00CD1205"/>
    <w:rsid w:val="00CD1C73"/>
    <w:rsid w:val="00CD2A5D"/>
    <w:rsid w:val="00CD4EA2"/>
    <w:rsid w:val="00CD4EBF"/>
    <w:rsid w:val="00CD6350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CF70C2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B81"/>
    <w:rsid w:val="00D1418B"/>
    <w:rsid w:val="00D14B40"/>
    <w:rsid w:val="00D16DA4"/>
    <w:rsid w:val="00D21504"/>
    <w:rsid w:val="00D22EB1"/>
    <w:rsid w:val="00D234D2"/>
    <w:rsid w:val="00D310A4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0322"/>
    <w:rsid w:val="00D813F5"/>
    <w:rsid w:val="00D83ADA"/>
    <w:rsid w:val="00D83EC3"/>
    <w:rsid w:val="00D86540"/>
    <w:rsid w:val="00D925AC"/>
    <w:rsid w:val="00D942EE"/>
    <w:rsid w:val="00D963CD"/>
    <w:rsid w:val="00D97A46"/>
    <w:rsid w:val="00DA012F"/>
    <w:rsid w:val="00DA216F"/>
    <w:rsid w:val="00DA4419"/>
    <w:rsid w:val="00DA4BF1"/>
    <w:rsid w:val="00DA6B21"/>
    <w:rsid w:val="00DA74F9"/>
    <w:rsid w:val="00DB17BD"/>
    <w:rsid w:val="00DB2334"/>
    <w:rsid w:val="00DB2460"/>
    <w:rsid w:val="00DB261B"/>
    <w:rsid w:val="00DB42F0"/>
    <w:rsid w:val="00DB45D6"/>
    <w:rsid w:val="00DB52E0"/>
    <w:rsid w:val="00DB655D"/>
    <w:rsid w:val="00DC24D9"/>
    <w:rsid w:val="00DC2DFA"/>
    <w:rsid w:val="00DC5B41"/>
    <w:rsid w:val="00DC6A57"/>
    <w:rsid w:val="00DC6A9F"/>
    <w:rsid w:val="00DC74FD"/>
    <w:rsid w:val="00DD1CDA"/>
    <w:rsid w:val="00DD39E3"/>
    <w:rsid w:val="00DD424D"/>
    <w:rsid w:val="00DD537C"/>
    <w:rsid w:val="00DE1639"/>
    <w:rsid w:val="00DE5458"/>
    <w:rsid w:val="00DE720A"/>
    <w:rsid w:val="00DF1BF1"/>
    <w:rsid w:val="00DF40B0"/>
    <w:rsid w:val="00DF46C7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40754"/>
    <w:rsid w:val="00E4599A"/>
    <w:rsid w:val="00E45B2F"/>
    <w:rsid w:val="00E50E74"/>
    <w:rsid w:val="00E51823"/>
    <w:rsid w:val="00E52D2E"/>
    <w:rsid w:val="00E55332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3039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1083"/>
    <w:rsid w:val="00ED1B83"/>
    <w:rsid w:val="00ED2852"/>
    <w:rsid w:val="00ED3A84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5"/>
    <w:rsid w:val="00F05516"/>
    <w:rsid w:val="00F073D5"/>
    <w:rsid w:val="00F10A86"/>
    <w:rsid w:val="00F12854"/>
    <w:rsid w:val="00F1351F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37AF3"/>
    <w:rsid w:val="00F41610"/>
    <w:rsid w:val="00F422A2"/>
    <w:rsid w:val="00F43774"/>
    <w:rsid w:val="00F46566"/>
    <w:rsid w:val="00F47A89"/>
    <w:rsid w:val="00F47E48"/>
    <w:rsid w:val="00F50F25"/>
    <w:rsid w:val="00F54060"/>
    <w:rsid w:val="00F57C56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0586"/>
    <w:rsid w:val="00FF480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1083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108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512F4-0C41-4721-9C8E-E89C2C8B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23</Pages>
  <Words>9323</Words>
  <Characters>55938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678</cp:revision>
  <cp:lastPrinted>2022-11-24T06:47:00Z</cp:lastPrinted>
  <dcterms:created xsi:type="dcterms:W3CDTF">2021-02-03T06:43:00Z</dcterms:created>
  <dcterms:modified xsi:type="dcterms:W3CDTF">2024-06-18T11:52:00Z</dcterms:modified>
</cp:coreProperties>
</file>