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20831C36" w:rsidR="009C2EAC" w:rsidRPr="00217A3D" w:rsidRDefault="009C2EAC" w:rsidP="00CE12F3">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E32C78">
        <w:rPr>
          <w:bCs/>
          <w:szCs w:val="20"/>
        </w:rPr>
        <w:t>50</w:t>
      </w:r>
      <w:r w:rsidR="00F61005">
        <w:rPr>
          <w:bCs/>
          <w:szCs w:val="20"/>
        </w:rPr>
        <w:t>.</w:t>
      </w:r>
      <w:r w:rsidR="00025267">
        <w:rPr>
          <w:bCs/>
          <w:szCs w:val="20"/>
        </w:rPr>
        <w:t>202</w:t>
      </w:r>
      <w:r w:rsidR="008B209B">
        <w:rPr>
          <w:bCs/>
          <w:szCs w:val="20"/>
        </w:rPr>
        <w:t>4</w:t>
      </w:r>
    </w:p>
    <w:p w14:paraId="55470C76" w14:textId="4C6720E6" w:rsidR="00217A3D" w:rsidRPr="0089556C" w:rsidRDefault="002146FA" w:rsidP="00CE12F3">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70A41C6A">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B59685"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E32C78">
        <w:rPr>
          <w:b/>
          <w:sz w:val="22"/>
        </w:rPr>
        <w:t>50</w:t>
      </w:r>
      <w:r w:rsidR="00560E85" w:rsidRPr="0089556C">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t>
      </w:r>
    </w:p>
    <w:p w14:paraId="2EDE066C" w14:textId="6BAF9389" w:rsidR="009C2EAC" w:rsidRPr="009C2EAC" w:rsidRDefault="009C2EAC" w:rsidP="00602F9D">
      <w:pPr>
        <w:widowControl w:val="0"/>
        <w:spacing w:before="120"/>
        <w:ind w:left="284"/>
        <w:rPr>
          <w:szCs w:val="20"/>
        </w:rPr>
      </w:pPr>
      <w:r w:rsidRPr="009C2EAC">
        <w:rPr>
          <w:szCs w:val="20"/>
        </w:rPr>
        <w:t>zawarta w Katowicach, pomiędzy:</w:t>
      </w:r>
    </w:p>
    <w:p w14:paraId="16A92C5D" w14:textId="77777777" w:rsidR="009C2EAC" w:rsidRPr="009C2EAC" w:rsidRDefault="009C2EAC" w:rsidP="00602F9D">
      <w:pPr>
        <w:widowControl w:val="0"/>
        <w:ind w:left="284"/>
        <w:rPr>
          <w:b/>
          <w:szCs w:val="20"/>
        </w:rPr>
      </w:pPr>
      <w:r w:rsidRPr="009C2EAC">
        <w:rPr>
          <w:b/>
          <w:szCs w:val="20"/>
        </w:rPr>
        <w:t>Uniwersytetem Śląskim w Katowicach</w:t>
      </w:r>
    </w:p>
    <w:p w14:paraId="73179811" w14:textId="77777777" w:rsidR="009C2EAC" w:rsidRPr="009C2EAC" w:rsidRDefault="009C2EAC" w:rsidP="00602F9D">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602F9D">
      <w:pPr>
        <w:widowControl w:val="0"/>
        <w:ind w:left="284"/>
        <w:rPr>
          <w:szCs w:val="20"/>
        </w:rPr>
      </w:pPr>
      <w:r w:rsidRPr="009C2EAC">
        <w:rPr>
          <w:szCs w:val="20"/>
        </w:rPr>
        <w:t>NIP: 6340197134</w:t>
      </w:r>
    </w:p>
    <w:p w14:paraId="35B05C43" w14:textId="6A3DE896" w:rsidR="009C2EAC" w:rsidRPr="009C2EAC" w:rsidRDefault="009C2EAC" w:rsidP="00602F9D">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602F9D">
      <w:pPr>
        <w:widowControl w:val="0"/>
        <w:ind w:left="284"/>
        <w:rPr>
          <w:szCs w:val="20"/>
        </w:rPr>
      </w:pPr>
      <w:r w:rsidRPr="009C2EAC">
        <w:rPr>
          <w:szCs w:val="20"/>
        </w:rPr>
        <w:t>zwanym dalej Zamawiającym</w:t>
      </w:r>
    </w:p>
    <w:p w14:paraId="54426D2E" w14:textId="77777777" w:rsidR="009C2EAC" w:rsidRPr="009C2EAC" w:rsidRDefault="009C2EAC" w:rsidP="00602F9D">
      <w:pPr>
        <w:widowControl w:val="0"/>
        <w:ind w:left="284"/>
        <w:rPr>
          <w:szCs w:val="20"/>
        </w:rPr>
      </w:pPr>
      <w:r w:rsidRPr="009C2EAC">
        <w:rPr>
          <w:szCs w:val="20"/>
        </w:rPr>
        <w:t>a</w:t>
      </w:r>
    </w:p>
    <w:p w14:paraId="13635FCC" w14:textId="77777777" w:rsidR="009C2EAC" w:rsidRPr="009C2EAC" w:rsidRDefault="009C2EAC" w:rsidP="00602F9D">
      <w:pPr>
        <w:widowControl w:val="0"/>
        <w:ind w:left="284"/>
        <w:rPr>
          <w:szCs w:val="20"/>
        </w:rPr>
      </w:pPr>
      <w:r w:rsidRPr="009C2EAC">
        <w:rPr>
          <w:szCs w:val="20"/>
        </w:rPr>
        <w:t>.............................................................................................................................</w:t>
      </w:r>
    </w:p>
    <w:p w14:paraId="665EBFAB" w14:textId="77777777" w:rsidR="009C2EAC" w:rsidRPr="009C2EAC" w:rsidRDefault="009C2EAC" w:rsidP="00602F9D">
      <w:pPr>
        <w:widowControl w:val="0"/>
        <w:ind w:left="284"/>
        <w:rPr>
          <w:szCs w:val="20"/>
        </w:rPr>
      </w:pPr>
      <w:r w:rsidRPr="009C2EAC">
        <w:rPr>
          <w:szCs w:val="20"/>
        </w:rPr>
        <w:t>NIP: ...................................................,</w:t>
      </w:r>
    </w:p>
    <w:p w14:paraId="041543A3" w14:textId="77777777" w:rsidR="00602F9D" w:rsidRDefault="009C2EAC" w:rsidP="00602F9D">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D508C8">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602F9D">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7DFB5BE5" w14:textId="2F014EB6" w:rsidR="00F6051D" w:rsidRDefault="00F6051D" w:rsidP="00602F9D">
      <w:pPr>
        <w:widowControl w:val="0"/>
        <w:ind w:left="0" w:firstLine="0"/>
        <w:rPr>
          <w:szCs w:val="20"/>
        </w:rPr>
      </w:pPr>
    </w:p>
    <w:p w14:paraId="603572F5" w14:textId="6497DD9F" w:rsidR="00F6051D" w:rsidRPr="009C2EAC" w:rsidRDefault="00F6051D" w:rsidP="00602F9D">
      <w:pPr>
        <w:widowControl w:val="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E32C78">
        <w:rPr>
          <w:rFonts w:eastAsia="Calibri" w:cs="Times New Roman"/>
          <w:b/>
          <w:bCs/>
        </w:rPr>
        <w:t>50</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Pr="00F6051D">
        <w:rPr>
          <w:rFonts w:eastAsia="Calibri" w:cs="Times New Roman"/>
          <w:b/>
          <w:szCs w:val="20"/>
        </w:rPr>
        <w:t xml:space="preserve">Dostawa </w:t>
      </w:r>
      <w:r w:rsidR="00E32C78" w:rsidRPr="00E32C78">
        <w:rPr>
          <w:rFonts w:eastAsia="Calibri" w:cs="Times New Roman"/>
          <w:b/>
          <w:szCs w:val="20"/>
        </w:rPr>
        <w:t xml:space="preserve"> kalorymetru skaningowego</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BF644D">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BF644D">
      <w:pPr>
        <w:widowControl w:val="0"/>
        <w:ind w:left="0" w:firstLine="0"/>
        <w:jc w:val="center"/>
        <w:rPr>
          <w:sz w:val="22"/>
        </w:rPr>
      </w:pPr>
      <w:r>
        <w:rPr>
          <w:b/>
          <w:sz w:val="22"/>
        </w:rPr>
        <w:t>Przedmiot U</w:t>
      </w:r>
      <w:r w:rsidR="009C2EAC" w:rsidRPr="009C2EAC">
        <w:rPr>
          <w:b/>
          <w:sz w:val="22"/>
        </w:rPr>
        <w:t>mowy</w:t>
      </w:r>
    </w:p>
    <w:p w14:paraId="2A8F6EEF" w14:textId="0A809E91" w:rsidR="009C2EAC" w:rsidRPr="00E32C78" w:rsidRDefault="009C2EAC" w:rsidP="00E32C78">
      <w:pPr>
        <w:widowControl w:val="0"/>
        <w:numPr>
          <w:ilvl w:val="0"/>
          <w:numId w:val="2"/>
        </w:numPr>
        <w:ind w:left="284" w:hanging="284"/>
        <w:outlineLvl w:val="1"/>
        <w:rPr>
          <w:rFonts w:eastAsia="Times New Roman" w:cs="Times New Roman"/>
          <w:bCs/>
          <w:szCs w:val="26"/>
          <w:lang w:eastAsia="x-none"/>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E32C78">
        <w:rPr>
          <w:rFonts w:eastAsia="Times New Roman" w:cs="Times New Roman"/>
          <w:b/>
          <w:bCs/>
          <w:noProof/>
          <w:szCs w:val="26"/>
        </w:rPr>
        <w:t>50</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r w:rsidR="00E32C78" w:rsidRPr="00E32C78">
        <w:t>kalorymetr skaningow</w:t>
      </w:r>
      <w:r w:rsidR="00E32C78">
        <w:t>y</w:t>
      </w:r>
      <w:r w:rsidR="00E32C78">
        <w:rPr>
          <w:rFonts w:eastAsia="Times New Roman" w:cs="Times New Roman"/>
          <w:bCs/>
          <w:szCs w:val="26"/>
          <w:lang w:eastAsia="x-none"/>
        </w:rPr>
        <w:t xml:space="preserve">, </w:t>
      </w:r>
      <w:r w:rsidRPr="00E32C78">
        <w:rPr>
          <w:rFonts w:eastAsia="Times New Roman" w:cs="Times New Roman"/>
          <w:bCs/>
          <w:noProof/>
          <w:szCs w:val="26"/>
        </w:rPr>
        <w:t>zwan</w:t>
      </w:r>
      <w:r w:rsidR="00E32C78">
        <w:rPr>
          <w:rFonts w:eastAsia="Times New Roman" w:cs="Times New Roman"/>
          <w:bCs/>
          <w:noProof/>
          <w:szCs w:val="26"/>
        </w:rPr>
        <w:t>y</w:t>
      </w:r>
      <w:r w:rsidRPr="00E32C78">
        <w:rPr>
          <w:rFonts w:eastAsia="Times New Roman" w:cs="Times New Roman"/>
          <w:bCs/>
          <w:noProof/>
          <w:szCs w:val="20"/>
        </w:rPr>
        <w:t xml:space="preserve"> w</w:t>
      </w:r>
      <w:r w:rsidR="0060617B" w:rsidRPr="00E32C78">
        <w:rPr>
          <w:rFonts w:eastAsia="Times New Roman" w:cs="Times New Roman"/>
          <w:bCs/>
          <w:noProof/>
          <w:szCs w:val="20"/>
        </w:rPr>
        <w:t> </w:t>
      </w:r>
      <w:r w:rsidRPr="00E32C78">
        <w:rPr>
          <w:rFonts w:eastAsia="Times New Roman" w:cs="Times New Roman"/>
          <w:bCs/>
          <w:noProof/>
          <w:szCs w:val="20"/>
        </w:rPr>
        <w:t xml:space="preserve">dalszej części Umowy </w:t>
      </w:r>
      <w:r w:rsidRPr="00E32C78">
        <w:rPr>
          <w:rFonts w:eastAsia="Times New Roman" w:cs="Times New Roman"/>
          <w:bCs/>
          <w:i/>
          <w:noProof/>
          <w:szCs w:val="20"/>
        </w:rPr>
        <w:t>„</w:t>
      </w:r>
      <w:r w:rsidR="009E7CEE" w:rsidRPr="00E32C78">
        <w:rPr>
          <w:rFonts w:eastAsia="Times New Roman" w:cs="Times New Roman"/>
          <w:bCs/>
          <w:noProof/>
          <w:szCs w:val="20"/>
        </w:rPr>
        <w:t>Urządzeni</w:t>
      </w:r>
      <w:r w:rsidR="00903904">
        <w:rPr>
          <w:rFonts w:eastAsia="Times New Roman" w:cs="Times New Roman"/>
          <w:bCs/>
          <w:noProof/>
          <w:szCs w:val="20"/>
        </w:rPr>
        <w:t>em</w:t>
      </w:r>
      <w:r w:rsidRPr="00E32C78">
        <w:rPr>
          <w:rFonts w:eastAsia="Times New Roman" w:cs="Times New Roman"/>
          <w:bCs/>
          <w:noProof/>
          <w:szCs w:val="20"/>
        </w:rPr>
        <w:t>”</w:t>
      </w:r>
      <w:r w:rsidR="0080127A" w:rsidRPr="00E32C78">
        <w:rPr>
          <w:rFonts w:eastAsia="Times New Roman" w:cs="Times New Roman"/>
          <w:bCs/>
          <w:noProof/>
          <w:szCs w:val="20"/>
        </w:rPr>
        <w:t xml:space="preserve"> </w:t>
      </w:r>
      <w:r w:rsidRPr="00E32C78">
        <w:rPr>
          <w:rFonts w:eastAsia="Times New Roman" w:cs="Times New Roman"/>
          <w:bCs/>
          <w:noProof/>
          <w:szCs w:val="20"/>
        </w:rPr>
        <w:t>lub</w:t>
      </w:r>
      <w:r w:rsidRPr="00E32C78">
        <w:rPr>
          <w:rFonts w:eastAsia="Times New Roman" w:cs="Times New Roman"/>
          <w:bCs/>
          <w:i/>
          <w:noProof/>
          <w:szCs w:val="20"/>
        </w:rPr>
        <w:t xml:space="preserve"> „</w:t>
      </w:r>
      <w:r w:rsidR="0090225A" w:rsidRPr="00E32C78">
        <w:rPr>
          <w:rFonts w:eastAsia="Times New Roman" w:cs="Times New Roman"/>
          <w:bCs/>
          <w:noProof/>
          <w:szCs w:val="20"/>
        </w:rPr>
        <w:t xml:space="preserve">Przedmiotem </w:t>
      </w:r>
      <w:r w:rsidR="002A747E" w:rsidRPr="00E32C78">
        <w:rPr>
          <w:rFonts w:eastAsia="Times New Roman" w:cs="Times New Roman"/>
          <w:bCs/>
          <w:noProof/>
          <w:szCs w:val="20"/>
        </w:rPr>
        <w:t>Sprzedaży</w:t>
      </w:r>
      <w:r w:rsidRPr="00E32C78">
        <w:rPr>
          <w:rFonts w:eastAsia="Times New Roman" w:cs="Times New Roman"/>
          <w:bCs/>
          <w:i/>
          <w:noProof/>
          <w:szCs w:val="20"/>
        </w:rPr>
        <w:t>”.</w:t>
      </w:r>
    </w:p>
    <w:p w14:paraId="645CCBA1" w14:textId="77777777" w:rsidR="009C2EAC" w:rsidRPr="009C2EAC" w:rsidRDefault="009C2EAC" w:rsidP="00BF644D">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7F84F37" w14:textId="69EA8D5F" w:rsidR="00CE12F3" w:rsidRPr="00CE12F3" w:rsidRDefault="0060617B" w:rsidP="00BF644D">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B73CAA">
        <w:t>urządze</w:t>
      </w:r>
      <w:r w:rsidR="00903904">
        <w:t>nia</w:t>
      </w:r>
      <w:r w:rsidR="009C2EAC" w:rsidRPr="008F1340">
        <w:t xml:space="preserve"> w miejscu wskazanym przez Zamawiającego</w:t>
      </w:r>
      <w:r w:rsidR="00332A04">
        <w:t xml:space="preserve">, </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903904">
        <w:t>, a także instalację</w:t>
      </w:r>
      <w:r w:rsidR="0094568F">
        <w:t xml:space="preserve">                </w:t>
      </w:r>
      <w:r w:rsidR="00903904">
        <w:t xml:space="preserve"> i szkolenie</w:t>
      </w:r>
      <w:r w:rsidR="00332A04">
        <w:t xml:space="preserve">; </w:t>
      </w:r>
      <w:r w:rsidR="00332A04" w:rsidRPr="00332A04">
        <w:t>Wykonawca przeszkoli min. 3 osoby</w:t>
      </w:r>
      <w:r w:rsidR="008B6B40">
        <w:t>,</w:t>
      </w:r>
      <w:r w:rsidR="00332A04" w:rsidRPr="00332A04">
        <w:t xml:space="preserve"> z teorii, użytkowania i obsługi urządzenia</w:t>
      </w:r>
      <w:r w:rsidR="008B6B40">
        <w:t>,</w:t>
      </w:r>
      <w:bookmarkStart w:id="1" w:name="_GoBack"/>
      <w:bookmarkEnd w:id="1"/>
      <w:r w:rsidR="00332A04" w:rsidRPr="00332A04">
        <w:t xml:space="preserve"> w dniu </w:t>
      </w:r>
      <w:r w:rsidR="00332A04">
        <w:t xml:space="preserve">                </w:t>
      </w:r>
      <w:r w:rsidR="00332A04" w:rsidRPr="00332A04">
        <w:t>i miejscu dostawy urządzenia</w:t>
      </w:r>
      <w:r w:rsidR="00332A04">
        <w:t>;</w:t>
      </w:r>
    </w:p>
    <w:p w14:paraId="2729E5F3" w14:textId="354AE158" w:rsidR="00CE12F3" w:rsidRDefault="00CE12F3" w:rsidP="00BF644D">
      <w:pPr>
        <w:pStyle w:val="Nagwek3"/>
        <w:widowControl w:val="0"/>
        <w:numPr>
          <w:ilvl w:val="0"/>
          <w:numId w:val="31"/>
        </w:numPr>
        <w:ind w:left="567" w:hanging="283"/>
        <w:contextualSpacing w:val="0"/>
      </w:pPr>
      <w:r w:rsidRPr="00CE12F3">
        <w:t>udzielenie gwarancji jakości na dostarczony Przedmiot Sprzedaży;</w:t>
      </w:r>
    </w:p>
    <w:p w14:paraId="4BB0B332" w14:textId="50EFD2A4" w:rsidR="00051EAB" w:rsidRDefault="009C2EAC" w:rsidP="00BF644D">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B73CAA" w:rsidRPr="00B73CAA">
        <w:rPr>
          <w:rFonts w:eastAsia="Times New Roman" w:cs="Times New Roman"/>
          <w:bCs/>
          <w:noProof/>
          <w:szCs w:val="26"/>
        </w:rPr>
        <w:t xml:space="preserve">urządzeń </w:t>
      </w:r>
      <w:r w:rsidRPr="00326210">
        <w:rPr>
          <w:rFonts w:eastAsia="Times New Roman" w:cs="Times New Roman"/>
          <w:bCs/>
          <w:noProof/>
          <w:szCs w:val="26"/>
        </w:rPr>
        <w:t>zawiera oferta Wykonawcy, stanowiąca integralną część Umowy.</w:t>
      </w:r>
    </w:p>
    <w:p w14:paraId="1B70CE0C" w14:textId="519D6E7C" w:rsidR="00707759" w:rsidRDefault="00707759" w:rsidP="00707759">
      <w:pPr>
        <w:widowControl w:val="0"/>
        <w:ind w:left="284" w:firstLine="0"/>
        <w:outlineLvl w:val="1"/>
        <w:rPr>
          <w:rFonts w:eastAsia="Times New Roman" w:cs="Times New Roman"/>
          <w:bCs/>
          <w:noProof/>
          <w:szCs w:val="26"/>
        </w:rPr>
      </w:pPr>
    </w:p>
    <w:p w14:paraId="1FA479DE" w14:textId="77777777" w:rsidR="00707759" w:rsidRPr="00326210" w:rsidRDefault="00707759" w:rsidP="00707759">
      <w:pPr>
        <w:widowControl w:val="0"/>
        <w:ind w:left="284" w:firstLine="0"/>
        <w:outlineLvl w:val="1"/>
        <w:rPr>
          <w:rFonts w:eastAsia="Times New Roman" w:cs="Times New Roman"/>
          <w:bCs/>
          <w:noProof/>
          <w:szCs w:val="26"/>
        </w:rPr>
      </w:pPr>
    </w:p>
    <w:p w14:paraId="63C68DA8" w14:textId="7680DFCB" w:rsidR="009C2EAC" w:rsidRPr="009C2EAC" w:rsidRDefault="009C2EAC" w:rsidP="00A04E73">
      <w:pPr>
        <w:widowControl w:val="0"/>
        <w:spacing w:before="24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A04E73">
      <w:pPr>
        <w:widowControl w:val="0"/>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A04E7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D8EC85C"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67457B" w:rsidRPr="0067457B">
        <w:rPr>
          <w:rFonts w:eastAsia="Times New Roman" w:cs="Times New Roman"/>
          <w:bCs/>
          <w:noProof/>
          <w:szCs w:val="26"/>
        </w:rPr>
        <w:t>urządzeń</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67457B">
        <w:rPr>
          <w:rFonts w:eastAsia="Times New Roman" w:cs="Times New Roman"/>
          <w:bCs/>
          <w:noProof/>
          <w:szCs w:val="26"/>
        </w:rPr>
        <w:t>ych</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cych</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2" w:name="_Hlk63066630"/>
      <w:bookmarkStart w:id="3" w:name="_Hlk63075800"/>
      <w:r w:rsidRPr="00DE3908">
        <w:rPr>
          <w:rFonts w:eastAsia="Times New Roman" w:cs="Times New Roman"/>
          <w:bCs/>
          <w:noProof/>
          <w:szCs w:val="26"/>
        </w:rPr>
        <w:t>posiadając</w:t>
      </w:r>
      <w:r w:rsidR="0067457B" w:rsidRPr="00DE3908">
        <w:rPr>
          <w:rFonts w:eastAsia="Times New Roman" w:cs="Times New Roman"/>
          <w:bCs/>
          <w:noProof/>
          <w:szCs w:val="26"/>
        </w:rPr>
        <w:t>ych</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4" w:name="_Hlk63066676"/>
      <w:bookmarkEnd w:id="2"/>
      <w:r w:rsidR="00D70D0D">
        <w:rPr>
          <w:rFonts w:eastAsia="Times New Roman" w:cs="Times New Roman"/>
          <w:bCs/>
          <w:noProof/>
          <w:szCs w:val="26"/>
        </w:rPr>
        <w:t>dopuszcz</w:t>
      </w:r>
      <w:r w:rsidR="00ED09B0">
        <w:rPr>
          <w:rFonts w:eastAsia="Times New Roman" w:cs="Times New Roman"/>
          <w:bCs/>
          <w:noProof/>
          <w:szCs w:val="26"/>
        </w:rPr>
        <w:t xml:space="preserve">ające </w:t>
      </w:r>
      <w:r w:rsidR="0067457B" w:rsidRPr="0067457B">
        <w:rPr>
          <w:rFonts w:eastAsia="Times New Roman" w:cs="Times New Roman"/>
          <w:bCs/>
          <w:noProof/>
          <w:szCs w:val="26"/>
        </w:rPr>
        <w:t>urządze</w:t>
      </w:r>
      <w:r w:rsidR="0067457B">
        <w:rPr>
          <w:rFonts w:eastAsia="Times New Roman" w:cs="Times New Roman"/>
          <w:bCs/>
          <w:noProof/>
          <w:szCs w:val="26"/>
        </w:rPr>
        <w:t>nia</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A04E7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A04E7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A04E73">
      <w:pPr>
        <w:widowControl w:val="0"/>
        <w:numPr>
          <w:ilvl w:val="0"/>
          <w:numId w:val="3"/>
        </w:numPr>
        <w:spacing w:after="120"/>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4C9A3C2B" w14:textId="77777777" w:rsidR="00CD43A4"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5F55F0">
        <w:rPr>
          <w:rFonts w:eastAsia="Times New Roman" w:cs="Times New Roman"/>
          <w:bCs/>
          <w:noProof/>
          <w:szCs w:val="26"/>
        </w:rPr>
        <w:t xml:space="preserve">. </w:t>
      </w:r>
    </w:p>
    <w:p w14:paraId="7A4A3810" w14:textId="64312661" w:rsidR="009C2EAC" w:rsidRPr="005F55F0" w:rsidRDefault="009C2EAC" w:rsidP="00CD43A4">
      <w:pPr>
        <w:widowControl w:val="0"/>
        <w:ind w:left="284" w:firstLine="0"/>
        <w:jc w:val="center"/>
        <w:outlineLvl w:val="1"/>
        <w:rPr>
          <w:rFonts w:eastAsia="Times New Roman" w:cs="Times New Roman"/>
          <w:bCs/>
          <w:noProof/>
          <w:szCs w:val="26"/>
        </w:rPr>
      </w:pPr>
      <w:r w:rsidRPr="00CD43A4">
        <w:rPr>
          <w:i/>
          <w:szCs w:val="20"/>
        </w:rPr>
        <w:t>albo</w:t>
      </w:r>
      <w:r w:rsidRPr="009C2EAC">
        <w:rPr>
          <w:szCs w:val="20"/>
          <w:vertAlign w:val="superscript"/>
        </w:rPr>
        <w:footnoteReference w:id="2"/>
      </w:r>
    </w:p>
    <w:p w14:paraId="0C55B121" w14:textId="77777777" w:rsidR="009C2EAC" w:rsidRPr="009C2EAC" w:rsidRDefault="009C2EAC" w:rsidP="00A04E7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A04E73">
      <w:pPr>
        <w:widowControl w:val="0"/>
        <w:numPr>
          <w:ilvl w:val="0"/>
          <w:numId w:val="2"/>
        </w:numPr>
        <w:spacing w:after="240"/>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A04E73">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A04E7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2FED9058" w:rsidR="009C2EAC" w:rsidRPr="00DE3908" w:rsidRDefault="009C2EAC" w:rsidP="00A04E73">
      <w:pPr>
        <w:pStyle w:val="Nagwek2"/>
        <w:keepNext w:val="0"/>
        <w:widowControl w:val="0"/>
        <w:numPr>
          <w:ilvl w:val="0"/>
          <w:numId w:val="13"/>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707759">
        <w:rPr>
          <w:b/>
        </w:rPr>
        <w:t>tygo</w:t>
      </w:r>
      <w:r w:rsidR="00CE12F3">
        <w:rPr>
          <w:b/>
        </w:rPr>
        <w:t xml:space="preserve">dni </w:t>
      </w:r>
      <w:r w:rsidR="00A55268" w:rsidRPr="009B281A">
        <w:rPr>
          <w:b/>
        </w:rPr>
        <w:t>od</w:t>
      </w:r>
      <w:r w:rsidR="008F1340" w:rsidRPr="009B281A">
        <w:rPr>
          <w:b/>
        </w:rPr>
        <w:t> </w:t>
      </w:r>
      <w:r w:rsidR="00A55268" w:rsidRPr="009B281A">
        <w:rPr>
          <w:b/>
        </w:rPr>
        <w:t xml:space="preserve">daty </w:t>
      </w:r>
      <w:r w:rsidR="00A04E73">
        <w:rPr>
          <w:b/>
        </w:rPr>
        <w:t>zawarcia umowy</w:t>
      </w:r>
      <w:r w:rsidR="00CE12F3" w:rsidRPr="00DE3908">
        <w:rPr>
          <w:b/>
        </w:rPr>
        <w:t>.</w:t>
      </w:r>
    </w:p>
    <w:p w14:paraId="091EFEFB" w14:textId="2E88895B"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0528911E" w14:textId="018AE1CD" w:rsidR="009C2EAC" w:rsidRPr="00707759" w:rsidRDefault="009C2EAC" w:rsidP="0070775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r w:rsidR="00707759" w:rsidRPr="00707759">
        <w:rPr>
          <w:b/>
          <w:bCs/>
        </w:rPr>
        <w:t xml:space="preserve">Wydział Nauk Ścisłych i Technicznych Uniwersytetu Śliskiego w Katowicach, ul. 75 Pułku Piechoty 1A, </w:t>
      </w:r>
      <w:r w:rsidR="0079256E">
        <w:rPr>
          <w:b/>
          <w:bCs/>
        </w:rPr>
        <w:t xml:space="preserve">                       </w:t>
      </w:r>
      <w:r w:rsidR="00707759" w:rsidRPr="00707759">
        <w:rPr>
          <w:b/>
          <w:bCs/>
        </w:rPr>
        <w:t>41-500 Chorzów</w:t>
      </w:r>
      <w:r w:rsidR="00707759" w:rsidRPr="00707759">
        <w:rPr>
          <w:bCs/>
        </w:rPr>
        <w:t>.</w:t>
      </w:r>
      <w:r w:rsidR="00707759">
        <w:rPr>
          <w:rFonts w:eastAsia="Times New Roman" w:cs="Times New Roman"/>
          <w:bCs/>
          <w:noProof/>
          <w:szCs w:val="26"/>
        </w:rPr>
        <w:t xml:space="preserve"> </w:t>
      </w:r>
      <w:r w:rsidR="00F02223" w:rsidRPr="00707759">
        <w:rPr>
          <w:bCs/>
        </w:rPr>
        <w:t>Wykonawca zobowiązany jest również dokonać rozładunku oraz wniesienia dostarczonego Przedmiotu Sprzedaży</w:t>
      </w:r>
      <w:r w:rsidR="00F02223" w:rsidRPr="00707759">
        <w:rPr>
          <w:b/>
        </w:rPr>
        <w:t>.</w:t>
      </w:r>
    </w:p>
    <w:p w14:paraId="0053ECA4" w14:textId="2BBB971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6DDDD68F" w:rsidR="009C2EAC" w:rsidRDefault="009C2EAC" w:rsidP="00A04E7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707759">
        <w:rPr>
          <w:rFonts w:eastAsia="Times New Roman" w:cs="Times New Roman"/>
          <w:bCs/>
          <w:noProof/>
          <w:szCs w:val="26"/>
        </w:rPr>
        <w:t xml:space="preserve"> </w:t>
      </w:r>
      <w:r w:rsidR="00F925B5">
        <w:rPr>
          <w:rFonts w:eastAsia="Times New Roman" w:cs="Times New Roman"/>
          <w:bCs/>
          <w:noProof/>
          <w:szCs w:val="26"/>
        </w:rPr>
        <w:t>lub</w:t>
      </w:r>
      <w:r w:rsidR="00707759">
        <w:rPr>
          <w:rFonts w:eastAsia="Times New Roman" w:cs="Times New Roman"/>
          <w:bCs/>
          <w:noProof/>
          <w:szCs w:val="26"/>
        </w:rPr>
        <w:t xml:space="preserve"> angielskim</w:t>
      </w:r>
      <w:r w:rsidR="00025267" w:rsidRPr="00974E18">
        <w:rPr>
          <w:rFonts w:eastAsia="Times New Roman" w:cs="Times New Roman"/>
          <w:bCs/>
          <w:noProof/>
          <w:szCs w:val="26"/>
        </w:rPr>
        <w:t>.</w:t>
      </w:r>
    </w:p>
    <w:p w14:paraId="4AE805E6" w14:textId="69029AB6" w:rsid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D6293A">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406D67E3"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920F26">
        <w:rPr>
          <w:rFonts w:eastAsia="Times New Roman" w:cs="Times New Roman"/>
          <w:bCs/>
          <w:noProof/>
          <w:szCs w:val="26"/>
        </w:rPr>
        <w:t>urządzenia</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31C73AC0"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145DA4" w:rsidRPr="00145DA4">
        <w:rPr>
          <w:rFonts w:eastAsia="Times New Roman" w:cs="Times New Roman"/>
          <w:bCs/>
          <w:noProof/>
          <w:szCs w:val="26"/>
        </w:rPr>
        <w:t>urzadze</w:t>
      </w:r>
      <w:r w:rsidR="00145DA4">
        <w:rPr>
          <w:rFonts w:eastAsia="Times New Roman" w:cs="Times New Roman"/>
          <w:bCs/>
          <w:noProof/>
          <w:szCs w:val="26"/>
        </w:rPr>
        <w:t xml:space="preserve">nia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3746F9BF" w:rsidR="00590E77" w:rsidRP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4EFDF7EA" w14:textId="6F30BAA1" w:rsidR="000C43FC" w:rsidRPr="000C43FC" w:rsidRDefault="009C2EAC" w:rsidP="000C43FC">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59BF9408"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5" w:name="_Hlk65494348"/>
      <w:r w:rsidR="00F470FB" w:rsidRPr="006F4773">
        <w:rPr>
          <w:b/>
        </w:rPr>
        <w:t xml:space="preserve">koszt </w:t>
      </w:r>
      <w:r w:rsidR="007C4A3A" w:rsidRPr="007C4A3A">
        <w:rPr>
          <w:b/>
          <w:bCs/>
        </w:rPr>
        <w:t>urządze</w:t>
      </w:r>
      <w:r w:rsidR="0094568F">
        <w:rPr>
          <w:b/>
          <w:bCs/>
        </w:rPr>
        <w:t>nia</w:t>
      </w:r>
      <w:r w:rsidR="007C4A3A" w:rsidRPr="007C4A3A">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79256E">
        <w:rPr>
          <w:b/>
          <w:bCs/>
        </w:rPr>
        <w:t xml:space="preserve">koszt instalacji i szkolenia, </w:t>
      </w:r>
      <w:r w:rsidR="00A77A9C">
        <w:rPr>
          <w:b/>
          <w:bCs/>
        </w:rPr>
        <w:t xml:space="preserve">a także </w:t>
      </w:r>
      <w:r w:rsidR="00F470FB" w:rsidRPr="006F4773">
        <w:rPr>
          <w:rFonts w:eastAsia="Palatino Linotype" w:cs="Arial"/>
          <w:b/>
          <w:bCs/>
          <w:szCs w:val="20"/>
        </w:rPr>
        <w:t>koszt zapewnienia bezpłatnego serwisu technicznego 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5"/>
      <w:r w:rsidRPr="00F470FB">
        <w:rPr>
          <w:rFonts w:eastAsia="Times New Roman" w:cs="Times New Roman"/>
          <w:bCs/>
          <w:noProof/>
          <w:szCs w:val="26"/>
        </w:rPr>
        <w:t>.</w:t>
      </w:r>
    </w:p>
    <w:p w14:paraId="59E0D4BD" w14:textId="441805F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Zamawiający dokona płatności przelewem na rachunek bankowy Wykonawcy wskazany na fakturze </w:t>
      </w:r>
      <w:r w:rsidRPr="00590E77">
        <w:rPr>
          <w:rFonts w:eastAsia="Times New Roman" w:cs="Times New Roman"/>
          <w:bCs/>
          <w:noProof/>
          <w:szCs w:val="26"/>
        </w:rPr>
        <w:t xml:space="preserve">w terminie do </w:t>
      </w:r>
      <w:r w:rsidR="002D6D13">
        <w:rPr>
          <w:rFonts w:eastAsia="Times New Roman" w:cs="Times New Roman"/>
          <w:bCs/>
          <w:noProof/>
          <w:szCs w:val="26"/>
        </w:rPr>
        <w:t xml:space="preserve">14 </w:t>
      </w:r>
      <w:r w:rsidRPr="00590E77">
        <w:rPr>
          <w:rFonts w:eastAsia="Times New Roman" w:cs="Times New Roman"/>
          <w:bCs/>
          <w:noProof/>
          <w:szCs w:val="26"/>
        </w:rPr>
        <w:t>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1ACD352"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43F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8933E8C" w:rsidR="00345671" w:rsidRP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261C52" w:rsidRPr="00261C52">
        <w:t>urzadzeń</w:t>
      </w:r>
      <w:r w:rsidRPr="0090225A">
        <w:t xml:space="preserve">. Wykonawca udziela na </w:t>
      </w:r>
      <w:r w:rsidR="0090225A">
        <w:t>dostarczon</w:t>
      </w:r>
      <w:r w:rsidR="008A737F">
        <w:t>e</w:t>
      </w:r>
      <w:r w:rsidR="0090225A">
        <w:t xml:space="preserve"> </w:t>
      </w:r>
      <w:r w:rsidR="008A737F" w:rsidRPr="008A737F">
        <w:t>urzadze</w:t>
      </w:r>
      <w:r w:rsidR="008A737F">
        <w:t xml:space="preserve">nia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5DC23662"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0E1DDC" w:rsidRPr="000E1DDC">
        <w:rPr>
          <w:bCs/>
          <w:iCs/>
          <w:szCs w:val="20"/>
        </w:rPr>
        <w:t>urządze</w:t>
      </w:r>
      <w:r w:rsidR="000E1DDC">
        <w:rPr>
          <w:bCs/>
          <w:iCs/>
          <w:szCs w:val="20"/>
        </w:rPr>
        <w:t xml:space="preserve">nia </w:t>
      </w:r>
      <w:r w:rsidRPr="009C2EAC">
        <w:rPr>
          <w:iCs/>
          <w:szCs w:val="20"/>
        </w:rPr>
        <w:t>lub jego części,</w:t>
      </w:r>
    </w:p>
    <w:p w14:paraId="112CF94A" w14:textId="01672F87"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0E1DDC" w:rsidRPr="000E1DDC">
        <w:rPr>
          <w:bCs/>
          <w:iCs/>
          <w:szCs w:val="20"/>
        </w:rPr>
        <w:t>urządzenia</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1CF7405B"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0E1DDC" w:rsidRPr="000E1DDC">
        <w:rPr>
          <w:iCs/>
        </w:rPr>
        <w:t>urządzenia</w:t>
      </w:r>
      <w:r w:rsidRPr="00CC7034">
        <w:t xml:space="preserve">, z zastrzeżeniem postanowień ust. 8 lub do nieodpłatnej wymiany </w:t>
      </w:r>
      <w:r w:rsidR="000E1DDC" w:rsidRPr="000E1DDC">
        <w:rPr>
          <w:iCs/>
        </w:rPr>
        <w:t>urządzenia</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w:t>
      </w:r>
      <w:r w:rsidRPr="00183235">
        <w:rPr>
          <w:rFonts w:eastAsia="Times New Roman" w:cs="Times New Roman"/>
          <w:bCs/>
          <w:noProof/>
          <w:szCs w:val="26"/>
          <w:lang w:eastAsia="x-none"/>
        </w:rPr>
        <w:lastRenderedPageBreak/>
        <w:t xml:space="preserve">Zamawiający nie traci uprawnień z tytułu gwarancji, jeżeli wykaże istnienie zobowiązania gwarancyjnego za pomocą innego dowodu. </w:t>
      </w:r>
    </w:p>
    <w:p w14:paraId="2F74B4D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1DC2B3D9"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A3722B" w:rsidRPr="00A3722B">
        <w:rPr>
          <w:rFonts w:eastAsia="Times New Roman" w:cs="Times New Roman"/>
          <w:bCs/>
          <w:iCs/>
          <w:noProof/>
          <w:szCs w:val="26"/>
          <w:lang w:eastAsia="x-none"/>
        </w:rPr>
        <w:t>urządzenia</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6"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6"/>
    <w:p w14:paraId="04C61B91" w14:textId="4C53A067" w:rsidR="009C2EAC" w:rsidRPr="009C2EAC" w:rsidRDefault="009C2EAC" w:rsidP="0084774D">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84774D">
      <w:pPr>
        <w:widowControl w:val="0"/>
        <w:ind w:left="0" w:firstLine="0"/>
        <w:jc w:val="center"/>
        <w:outlineLvl w:val="4"/>
        <w:rPr>
          <w:b/>
          <w:bCs/>
          <w:sz w:val="22"/>
          <w:szCs w:val="20"/>
        </w:rPr>
      </w:pPr>
      <w:r w:rsidRPr="009C2EAC">
        <w:rPr>
          <w:b/>
          <w:bCs/>
          <w:sz w:val="22"/>
          <w:szCs w:val="20"/>
        </w:rPr>
        <w:t>Rękojmia za wady</w:t>
      </w:r>
    </w:p>
    <w:p w14:paraId="54258F16" w14:textId="63A4537F" w:rsidR="00183235" w:rsidRDefault="00183235" w:rsidP="0084774D">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84774D">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84774D">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84774D">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12275D5D" w:rsidR="00183235" w:rsidRPr="00183235" w:rsidRDefault="00183235" w:rsidP="0084774D">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xml:space="preserve">……) lub pisemnie na adres Wykonawcy. </w:t>
      </w:r>
      <w:r w:rsidR="0084774D">
        <w:rPr>
          <w:rFonts w:eastAsia="Times New Roman" w:cs="Times New Roman"/>
          <w:bCs/>
          <w:iCs/>
          <w:noProof/>
          <w:szCs w:val="26"/>
          <w:lang w:eastAsia="x-none"/>
        </w:rPr>
        <w:t xml:space="preserve">                                       </w:t>
      </w:r>
      <w:r w:rsidRPr="00183235">
        <w:rPr>
          <w:rFonts w:eastAsia="Times New Roman" w:cs="Times New Roman"/>
          <w:bCs/>
          <w:iCs/>
          <w:noProof/>
          <w:szCs w:val="26"/>
          <w:lang w:eastAsia="x-none"/>
        </w:rPr>
        <w:lastRenderedPageBreak/>
        <w:t>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84774D">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53FC1F4D" w:rsidR="00183235" w:rsidRPr="00F507AC" w:rsidRDefault="00183235" w:rsidP="0084774D">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A3722B" w:rsidRPr="00A3722B">
        <w:rPr>
          <w:iCs/>
          <w:lang w:eastAsia="x-none"/>
        </w:rPr>
        <w:t>urządzenia</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84774D">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3EAB5399" w:rsidR="00183235" w:rsidRPr="00183235" w:rsidRDefault="00183235" w:rsidP="0084774D">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A3722B" w:rsidRPr="00A3722B">
        <w:rPr>
          <w:iCs/>
        </w:rPr>
        <w:t>urządzenia</w:t>
      </w:r>
      <w:r w:rsidRPr="00183235">
        <w:t>, natomiast nie nadają się do usunięcia,</w:t>
      </w:r>
    </w:p>
    <w:p w14:paraId="3A2972F9" w14:textId="22BEBA04" w:rsidR="00183235" w:rsidRPr="00183235" w:rsidRDefault="00183235" w:rsidP="0084774D">
      <w:pPr>
        <w:pStyle w:val="Nagwek3"/>
        <w:widowControl w:val="0"/>
        <w:ind w:left="567" w:hanging="283"/>
        <w:contextualSpacing w:val="0"/>
      </w:pPr>
      <w:r w:rsidRPr="00183235">
        <w:t xml:space="preserve">odstąpić od Umowy, jeżeli ujawnione wady nie zostaną usunięte albo uniemożliwiają użytkowanie </w:t>
      </w:r>
      <w:r w:rsidR="00A3722B" w:rsidRPr="00A3722B">
        <w:rPr>
          <w:iCs/>
        </w:rPr>
        <w:t>urządzenia</w:t>
      </w:r>
      <w:r w:rsidRPr="00183235">
        <w:t xml:space="preserve"> i nie nadają się do usunięcia.</w:t>
      </w:r>
    </w:p>
    <w:p w14:paraId="632C7B0B" w14:textId="2C5F2626" w:rsidR="00183235" w:rsidRDefault="00183235" w:rsidP="0084774D">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84774D">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77777777" w:rsidR="00183235" w:rsidRPr="00183235" w:rsidRDefault="00183235" w:rsidP="0084774D">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84774D">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84774D">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84774D">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84774D">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7141252" w:rsidR="002E5011" w:rsidRDefault="009C2EAC" w:rsidP="0084774D">
      <w:pPr>
        <w:pStyle w:val="Nagwek3"/>
        <w:widowControl w:val="0"/>
        <w:numPr>
          <w:ilvl w:val="0"/>
          <w:numId w:val="17"/>
        </w:numPr>
        <w:ind w:left="567" w:hanging="283"/>
        <w:contextualSpacing w:val="0"/>
      </w:pPr>
      <w:r w:rsidRPr="002E5011">
        <w:rPr>
          <w:b/>
        </w:rPr>
        <w:t>za każdy rozpoczęty dzień zwłoki</w:t>
      </w:r>
      <w:r w:rsidRPr="002E5011">
        <w:t xml:space="preserve"> w wydaniu Przedmiotu </w:t>
      </w:r>
      <w:r w:rsidR="002A747E" w:rsidRPr="002E5011">
        <w:t xml:space="preserve">Sprzedaży </w:t>
      </w:r>
      <w:r w:rsidRPr="002E5011">
        <w:t>bądź jego części - w wysokości 0,</w:t>
      </w:r>
      <w:r w:rsidR="002E5011">
        <w:t>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0B357568" w:rsidR="005B27D0" w:rsidRDefault="005B27D0" w:rsidP="0084774D">
      <w:pPr>
        <w:pStyle w:val="Nagwek3"/>
        <w:widowControl w:val="0"/>
        <w:numPr>
          <w:ilvl w:val="0"/>
          <w:numId w:val="17"/>
        </w:numPr>
        <w:ind w:left="567" w:hanging="283"/>
        <w:contextualSpacing w:val="0"/>
      </w:pPr>
      <w:r w:rsidRPr="00AB3603">
        <w:rPr>
          <w:b/>
        </w:rPr>
        <w:t>za każdy dzień zwłoki w usunięciu ujawnionych wad urządzenia</w:t>
      </w:r>
      <w:r w:rsidRPr="002E5011">
        <w:t xml:space="preserve"> w okresie gwarancji lub rękojmi, w drodze ich naprawy lub wymiany - w wysokości 0,</w:t>
      </w:r>
      <w:r w:rsidR="002E5011">
        <w:t>0</w:t>
      </w:r>
      <w:r w:rsidRPr="002E5011">
        <w:t xml:space="preserve">5 % wynagrodzenia umownego brutto określonego w § 5 ust. 1 </w:t>
      </w:r>
      <w:r w:rsidR="00595766" w:rsidRPr="002E5011">
        <w:t xml:space="preserve">za </w:t>
      </w:r>
      <w:r w:rsidRPr="002E5011">
        <w:t>Urządzenie, którego dotyczy zwłoka;</w:t>
      </w:r>
      <w:r w:rsidR="00AB3603" w:rsidRPr="00AB3603">
        <w:t xml:space="preserve"> w zakresie danej części;</w:t>
      </w:r>
    </w:p>
    <w:p w14:paraId="3E128E4A" w14:textId="057F799B" w:rsidR="009C2EAC" w:rsidRPr="002E5011" w:rsidRDefault="009C2EAC" w:rsidP="000426C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lastRenderedPageBreak/>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1B37311B" w:rsidR="00F470FB" w:rsidRDefault="00F470FB" w:rsidP="000426C1">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0426C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426C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79256E">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0426C1">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906545">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84774D">
      <w:pPr>
        <w:widowControl w:val="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84774D">
      <w:pPr>
        <w:widowControl w:val="0"/>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906545">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0426C1">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0426C1">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0426C1">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0426C1">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906545">
      <w:pPr>
        <w:pStyle w:val="Nagwek2"/>
        <w:keepNext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5D5757">
      <w:pPr>
        <w:keepNext/>
        <w:keepLines/>
        <w:widowControl w:val="0"/>
        <w:spacing w:before="12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906545">
      <w:pPr>
        <w:pStyle w:val="Nagwek2"/>
        <w:keepNext w:val="0"/>
        <w:widowControl w:val="0"/>
        <w:numPr>
          <w:ilvl w:val="0"/>
          <w:numId w:val="24"/>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906545">
      <w:pPr>
        <w:pStyle w:val="Nagwek3"/>
        <w:widowControl w:val="0"/>
        <w:numPr>
          <w:ilvl w:val="0"/>
          <w:numId w:val="25"/>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24F0ED41" w:rsid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49CA957A" w14:textId="7BD5525E" w:rsidR="00645013" w:rsidRDefault="00645013" w:rsidP="00645013">
      <w:pPr>
        <w:widowControl w:val="0"/>
        <w:spacing w:after="60" w:line="336" w:lineRule="auto"/>
        <w:ind w:left="284" w:firstLine="0"/>
        <w:contextualSpacing/>
        <w:outlineLvl w:val="1"/>
        <w:rPr>
          <w:rFonts w:eastAsia="Times New Roman" w:cs="Times New Roman"/>
          <w:bCs/>
          <w:noProof/>
          <w:szCs w:val="26"/>
        </w:rPr>
      </w:pPr>
    </w:p>
    <w:p w14:paraId="41C5D350" w14:textId="77777777" w:rsidR="00645013" w:rsidRPr="009C2EAC" w:rsidRDefault="00645013" w:rsidP="00645013">
      <w:pPr>
        <w:widowControl w:val="0"/>
        <w:spacing w:after="60" w:line="336" w:lineRule="auto"/>
        <w:ind w:left="284" w:firstLine="0"/>
        <w:contextualSpacing/>
        <w:outlineLvl w:val="1"/>
        <w:rPr>
          <w:rFonts w:eastAsia="Times New Roman" w:cs="Times New Roman"/>
          <w:bCs/>
          <w:noProof/>
          <w:szCs w:val="26"/>
        </w:rPr>
      </w:pPr>
    </w:p>
    <w:p w14:paraId="781E63C9" w14:textId="77777777" w:rsidR="009C2EAC" w:rsidRPr="009C2EAC" w:rsidRDefault="009C2EAC" w:rsidP="0061337F">
      <w:pPr>
        <w:widowControl w:val="0"/>
        <w:spacing w:before="360" w:after="120" w:line="276" w:lineRule="auto"/>
        <w:ind w:left="0" w:firstLine="0"/>
        <w:jc w:val="center"/>
        <w:outlineLvl w:val="4"/>
        <w:rPr>
          <w:b/>
          <w:bCs/>
          <w:sz w:val="22"/>
          <w:szCs w:val="20"/>
        </w:rPr>
      </w:pPr>
      <w:r w:rsidRPr="009C2EAC">
        <w:rPr>
          <w:b/>
          <w:bCs/>
          <w:sz w:val="22"/>
          <w:szCs w:val="20"/>
        </w:rPr>
        <w:lastRenderedPageBreak/>
        <w:t>§ 14</w:t>
      </w:r>
    </w:p>
    <w:p w14:paraId="40E717DF" w14:textId="77777777" w:rsidR="009C2EAC" w:rsidRPr="009C2EAC" w:rsidRDefault="009C2EAC" w:rsidP="0061337F">
      <w:pPr>
        <w:widowControl w:val="0"/>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61337F">
      <w:pPr>
        <w:widowControl w:val="0"/>
        <w:spacing w:before="120" w:after="60" w:line="336" w:lineRule="auto"/>
        <w:ind w:left="0" w:firstLine="0"/>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61337F">
      <w:pPr>
        <w:widowControl w:val="0"/>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61337F">
      <w:pPr>
        <w:widowControl w:val="0"/>
        <w:spacing w:before="120" w:after="120" w:line="276" w:lineRule="auto"/>
        <w:ind w:left="0" w:firstLine="0"/>
        <w:jc w:val="center"/>
        <w:outlineLvl w:val="4"/>
        <w:rPr>
          <w:b/>
          <w:bCs/>
          <w:sz w:val="22"/>
          <w:szCs w:val="20"/>
        </w:rPr>
      </w:pPr>
      <w:r w:rsidRPr="009C2EAC">
        <w:rPr>
          <w:b/>
          <w:bCs/>
          <w:sz w:val="22"/>
          <w:szCs w:val="20"/>
        </w:rPr>
        <w:t>Dane do kontaktu</w:t>
      </w:r>
    </w:p>
    <w:p w14:paraId="4CA4F0A4" w14:textId="0F04E66E" w:rsidR="00D83762" w:rsidRPr="00D83762" w:rsidRDefault="009C2EAC" w:rsidP="0061337F">
      <w:pPr>
        <w:pStyle w:val="Nagwek2"/>
        <w:keepNext w:val="0"/>
        <w:widowControl w:val="0"/>
        <w:numPr>
          <w:ilvl w:val="0"/>
          <w:numId w:val="26"/>
        </w:numPr>
        <w:ind w:left="284" w:hanging="284"/>
        <w:contextualSpacing w:val="0"/>
      </w:pPr>
      <w:bookmarkStart w:id="7" w:name="OLE_LINK2"/>
      <w:r w:rsidRPr="00D83762">
        <w:t>Zamawiający upoważnia do kontaktów z Wykonawcą</w:t>
      </w:r>
      <w:r w:rsidR="00D83762" w:rsidRPr="00D83762">
        <w:t>, w tym odbioru Przedmiotu Umowy i i podpisania protokołu odbioru:</w:t>
      </w:r>
      <w:r w:rsidR="0061337F">
        <w:t xml:space="preserve"> </w:t>
      </w:r>
      <w:r w:rsidRPr="00D83762">
        <w:t>p. …….……………… - tel.: ………………………</w:t>
      </w:r>
      <w:r w:rsidR="00D83762">
        <w:t>…………….</w:t>
      </w:r>
      <w:r w:rsidRPr="00D83762">
        <w:t>.., e-mail: ………………………</w:t>
      </w:r>
      <w:r w:rsidR="00D83762">
        <w:t>……..</w:t>
      </w:r>
    </w:p>
    <w:p w14:paraId="183E4A1F" w14:textId="77777777" w:rsidR="009C2EAC" w:rsidRPr="009C2EAC" w:rsidRDefault="009C2EAC" w:rsidP="0061337F">
      <w:pPr>
        <w:widowControl w:val="0"/>
        <w:numPr>
          <w:ilvl w:val="0"/>
          <w:numId w:val="6"/>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61337F">
      <w:pPr>
        <w:widowControl w:val="0"/>
        <w:numPr>
          <w:ilvl w:val="0"/>
          <w:numId w:val="6"/>
        </w:numPr>
        <w:spacing w:before="12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61337F">
      <w:pPr>
        <w:pStyle w:val="Nagwek3"/>
        <w:widowControl w:val="0"/>
        <w:numPr>
          <w:ilvl w:val="0"/>
          <w:numId w:val="28"/>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6133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61337F">
      <w:pPr>
        <w:widowControl w:val="0"/>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4347E141" w:rsidR="009C2EAC" w:rsidRPr="0061337F" w:rsidRDefault="009C2EAC" w:rsidP="0061337F">
      <w:pPr>
        <w:widowControl w:val="0"/>
        <w:numPr>
          <w:ilvl w:val="0"/>
          <w:numId w:val="2"/>
        </w:numPr>
        <w:spacing w:before="12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61337F">
        <w:rPr>
          <w:szCs w:val="20"/>
        </w:rPr>
        <w:t xml:space="preserve">tel. …….., e-mail: ……………………… </w:t>
      </w:r>
    </w:p>
    <w:p w14:paraId="2CF945E0" w14:textId="77777777" w:rsidR="009C2EAC" w:rsidRPr="009C2EAC" w:rsidRDefault="009C2EAC" w:rsidP="006133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61337F">
      <w:pPr>
        <w:widowControl w:val="0"/>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61337F">
      <w:pPr>
        <w:widowControl w:val="0"/>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61337F">
      <w:pPr>
        <w:pStyle w:val="Nagwek2"/>
        <w:keepNext w:val="0"/>
        <w:widowControl w:val="0"/>
        <w:numPr>
          <w:ilvl w:val="0"/>
          <w:numId w:val="27"/>
        </w:numPr>
        <w:spacing w:before="0" w:after="0" w:line="360" w:lineRule="auto"/>
        <w:ind w:left="284" w:hanging="284"/>
        <w:contextualSpacing w:val="0"/>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6133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61337F">
      <w:pPr>
        <w:widowControl w:val="0"/>
        <w:numPr>
          <w:ilvl w:val="0"/>
          <w:numId w:val="2"/>
        </w:numPr>
        <w:spacing w:before="12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61337F">
      <w:pPr>
        <w:widowControl w:val="0"/>
        <w:numPr>
          <w:ilvl w:val="0"/>
          <w:numId w:val="2"/>
        </w:numPr>
        <w:spacing w:before="12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61337F">
      <w:pPr>
        <w:widowControl w:val="0"/>
        <w:numPr>
          <w:ilvl w:val="0"/>
          <w:numId w:val="2"/>
        </w:numPr>
        <w:spacing w:before="12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2263E9A8" w14:textId="2C33DBD5" w:rsidR="009C2EAC" w:rsidRPr="009C2EAC" w:rsidRDefault="009C2EAC" w:rsidP="0061337F">
      <w:pPr>
        <w:widowControl w:val="0"/>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5A53BC1D" w14:textId="77777777" w:rsidR="0061337F" w:rsidRDefault="009C2EAC" w:rsidP="0061337F">
      <w:pPr>
        <w:widowControl w:val="0"/>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2334685F" w14:textId="66AB727B" w:rsidR="009C2EAC" w:rsidRPr="0061337F" w:rsidRDefault="00F82895" w:rsidP="0061337F">
      <w:pPr>
        <w:widowControl w:val="0"/>
        <w:tabs>
          <w:tab w:val="left" w:pos="4395"/>
        </w:tabs>
        <w:ind w:left="284"/>
        <w:rPr>
          <w:i/>
          <w:szCs w:val="20"/>
        </w:rPr>
      </w:pPr>
      <w:r>
        <w:rPr>
          <w:b/>
          <w:sz w:val="18"/>
          <w:szCs w:val="18"/>
        </w:rPr>
        <w:t>Z</w:t>
      </w:r>
      <w:r w:rsidR="009C2EAC" w:rsidRPr="009C2EAC">
        <w:rPr>
          <w:b/>
          <w:sz w:val="18"/>
          <w:szCs w:val="18"/>
        </w:rPr>
        <w:t>ałączniki:</w:t>
      </w:r>
    </w:p>
    <w:p w14:paraId="77FDB286" w14:textId="77777777" w:rsidR="00D83762" w:rsidRDefault="009C2EAC" w:rsidP="0061337F">
      <w:pPr>
        <w:widowControl w:val="0"/>
        <w:ind w:left="567"/>
        <w:rPr>
          <w:sz w:val="18"/>
          <w:szCs w:val="18"/>
        </w:rPr>
      </w:pPr>
      <w:r w:rsidRPr="009C2EAC">
        <w:rPr>
          <w:sz w:val="18"/>
          <w:szCs w:val="18"/>
        </w:rPr>
        <w:t>Załącznik nr 1 – Wzór protokołu odbioru.</w:t>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27FF6BE"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13963BA2" w14:textId="40CD0945" w:rsidR="00CC51E5" w:rsidRDefault="00CC51E5" w:rsidP="00CC51E5">
      <w:pPr>
        <w:ind w:left="0" w:firstLine="0"/>
        <w:rPr>
          <w:szCs w:val="20"/>
        </w:rPr>
      </w:pPr>
    </w:p>
    <w:p w14:paraId="14E976F5" w14:textId="77777777" w:rsidR="00F43F03" w:rsidRDefault="00F43F03" w:rsidP="00CC51E5">
      <w:pPr>
        <w:ind w:left="0" w:firstLine="0"/>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29DFB1D0"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2160B1" w:rsidRPr="002160B1">
        <w:rPr>
          <w:bCs/>
          <w:iCs/>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59647FCC" w:rsidR="0061337F" w:rsidRDefault="0061337F" w:rsidP="00DF51BB">
      <w:pPr>
        <w:ind w:left="0" w:firstLine="0"/>
      </w:pPr>
    </w:p>
    <w:p w14:paraId="7FA8A753" w14:textId="77777777" w:rsidR="0061337F" w:rsidRPr="0061337F" w:rsidRDefault="0061337F" w:rsidP="0061337F"/>
    <w:p w14:paraId="110A6B41" w14:textId="77777777" w:rsidR="0061337F" w:rsidRPr="0061337F" w:rsidRDefault="0061337F" w:rsidP="0061337F"/>
    <w:p w14:paraId="30E4D49A" w14:textId="77777777" w:rsidR="0061337F" w:rsidRPr="0061337F" w:rsidRDefault="0061337F" w:rsidP="0061337F"/>
    <w:p w14:paraId="4BEAE552" w14:textId="77777777" w:rsidR="0061337F" w:rsidRPr="0061337F" w:rsidRDefault="0061337F" w:rsidP="0061337F"/>
    <w:p w14:paraId="11D78091" w14:textId="77777777" w:rsidR="0061337F" w:rsidRPr="0061337F" w:rsidRDefault="0061337F" w:rsidP="0061337F"/>
    <w:p w14:paraId="2EE3FC9C" w14:textId="77777777" w:rsidR="0061337F" w:rsidRPr="0061337F" w:rsidRDefault="0061337F" w:rsidP="0061337F"/>
    <w:p w14:paraId="7F879816" w14:textId="136BF007" w:rsidR="007566B0" w:rsidRPr="0061337F" w:rsidRDefault="007566B0" w:rsidP="0061337F">
      <w:pPr>
        <w:jc w:val="right"/>
      </w:pPr>
    </w:p>
    <w:sectPr w:rsidR="007566B0" w:rsidRPr="0061337F"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269DB20D"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61337F">
          <w:rPr>
            <w:rFonts w:eastAsiaTheme="majorEastAsia" w:cstheme="majorBidi"/>
            <w:sz w:val="18"/>
            <w:szCs w:val="18"/>
          </w:rPr>
          <w:t>5</w:t>
        </w:r>
      </w:p>
    </w:sdtContent>
  </w:sdt>
  <w:p w14:paraId="6C92B549" w14:textId="5C6D7E90" w:rsidR="00F470FB" w:rsidRDefault="00F470FB" w:rsidP="00045BBB">
    <w:pPr>
      <w:pStyle w:val="Stopka"/>
      <w:ind w:left="284"/>
      <w:rPr>
        <w:rFonts w:ascii="PT Sans" w:hAnsi="PT Sans"/>
        <w:sz w:val="24"/>
        <w:szCs w:val="24"/>
        <w:vertAlign w:val="subscript"/>
      </w:rPr>
    </w:pPr>
  </w:p>
  <w:p w14:paraId="6F9D441C" w14:textId="77777777" w:rsidR="002E5011" w:rsidRPr="006B318B" w:rsidRDefault="002E5011"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36601009" w:displacedByCustomXml="next"/>
  <w:bookmarkStart w:id="1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53475141"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75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4" w:displacedByCustomXml="prev"/>
  <w:p w14:paraId="650A88DC" w14:textId="021E7595" w:rsidR="002146FA" w:rsidRPr="00602A59" w:rsidRDefault="002146FA" w:rsidP="00CE12F3">
    <w:pPr>
      <w:pStyle w:val="Stopka"/>
      <w:spacing w:line="200" w:lineRule="exact"/>
      <w:ind w:left="0" w:firstLine="0"/>
      <w:rPr>
        <w:color w:val="002D59"/>
        <w:sz w:val="16"/>
        <w:szCs w:val="16"/>
      </w:rPr>
    </w:pPr>
    <w:r w:rsidRPr="00C0411E">
      <w:rPr>
        <w:rFonts w:eastAsia="Times New Roman" w:cs="Times New Roman"/>
        <w:noProof/>
        <w:sz w:val="16"/>
        <w:szCs w:val="16"/>
        <w:lang w:eastAsia="pl-PL"/>
      </w:rPr>
      <w:drawing>
        <wp:anchor distT="0" distB="0" distL="114300" distR="114300" simplePos="0" relativeHeight="251661824"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CE12F3">
      <w:rPr>
        <w:color w:val="002D59"/>
        <w:sz w:val="16"/>
        <w:szCs w:val="16"/>
      </w:rPr>
      <w:t xml:space="preserve">       </w:t>
    </w: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704"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8B6B40"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15"/>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8" w:name="_Hlk138251184"/>
    <w:bookmarkStart w:id="9" w:name="_Hlk138251185"/>
  </w:p>
  <w:p w14:paraId="3036128A" w14:textId="4AB764DA" w:rsidR="0006215F" w:rsidRDefault="002146FA" w:rsidP="0006215F">
    <w:pPr>
      <w:tabs>
        <w:tab w:val="left" w:pos="3300"/>
      </w:tabs>
      <w:spacing w:line="240" w:lineRule="auto"/>
      <w:ind w:left="0" w:firstLine="0"/>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656"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51F44FF6"/>
    <w:multiLevelType w:val="hybridMultilevel"/>
    <w:tmpl w:val="DDD4C37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1" w15:restartNumberingAfterBreak="0">
    <w:nsid w:val="77821191"/>
    <w:multiLevelType w:val="hybridMultilevel"/>
    <w:tmpl w:val="21A8A600"/>
    <w:lvl w:ilvl="0" w:tplc="2E4444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6"/>
  </w:num>
  <w:num w:numId="2">
    <w:abstractNumId w:val="5"/>
  </w:num>
  <w:num w:numId="3">
    <w:abstractNumId w:val="2"/>
  </w:num>
  <w:num w:numId="4">
    <w:abstractNumId w:val="9"/>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10"/>
  </w:num>
  <w:num w:numId="33">
    <w:abstractNumId w:val="5"/>
    <w:lvlOverride w:ilvl="0">
      <w:startOverride w:val="1"/>
    </w:lvlOverride>
  </w:num>
  <w:num w:numId="34">
    <w:abstractNumId w:val="2"/>
  </w:num>
  <w:num w:numId="35">
    <w:abstractNumId w:val="2"/>
    <w:lvlOverride w:ilvl="0">
      <w:startOverride w:val="1"/>
    </w:lvlOverride>
  </w:num>
  <w:num w:numId="36">
    <w:abstractNumId w:val="12"/>
  </w:num>
  <w:num w:numId="37">
    <w:abstractNumId w:val="11"/>
  </w:num>
  <w:num w:numId="38">
    <w:abstractNumId w:val="7"/>
  </w:num>
  <w:num w:numId="39">
    <w:abstractNumId w:val="1"/>
  </w:num>
  <w:num w:numId="40">
    <w:abstractNumId w:val="0"/>
  </w:num>
  <w:num w:numId="41">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5084"/>
    <w:rsid w:val="000A0A8A"/>
    <w:rsid w:val="000A2883"/>
    <w:rsid w:val="000A37EA"/>
    <w:rsid w:val="000A3D64"/>
    <w:rsid w:val="000A4A6D"/>
    <w:rsid w:val="000A5BCB"/>
    <w:rsid w:val="000B0AAE"/>
    <w:rsid w:val="000C35A2"/>
    <w:rsid w:val="000C3B6A"/>
    <w:rsid w:val="000C43FC"/>
    <w:rsid w:val="000C5ABC"/>
    <w:rsid w:val="000C6E83"/>
    <w:rsid w:val="000D1F37"/>
    <w:rsid w:val="000E1DDC"/>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5CD"/>
    <w:rsid w:val="001D46BB"/>
    <w:rsid w:val="001E0C9A"/>
    <w:rsid w:val="001E3AE7"/>
    <w:rsid w:val="001E4BD9"/>
    <w:rsid w:val="001E4E88"/>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3EA9"/>
    <w:rsid w:val="00261C52"/>
    <w:rsid w:val="00272E3F"/>
    <w:rsid w:val="002767DF"/>
    <w:rsid w:val="00282AFD"/>
    <w:rsid w:val="00290D14"/>
    <w:rsid w:val="00297E16"/>
    <w:rsid w:val="00297EB3"/>
    <w:rsid w:val="002A3574"/>
    <w:rsid w:val="002A3B02"/>
    <w:rsid w:val="002A3CD7"/>
    <w:rsid w:val="002A46AC"/>
    <w:rsid w:val="002A50F6"/>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D6D13"/>
    <w:rsid w:val="002E4CF0"/>
    <w:rsid w:val="002E5011"/>
    <w:rsid w:val="002E5E4E"/>
    <w:rsid w:val="002F44FC"/>
    <w:rsid w:val="002F53F1"/>
    <w:rsid w:val="002F5524"/>
    <w:rsid w:val="002F56CF"/>
    <w:rsid w:val="00305D5C"/>
    <w:rsid w:val="0031115A"/>
    <w:rsid w:val="003144B0"/>
    <w:rsid w:val="00317F1D"/>
    <w:rsid w:val="00321B53"/>
    <w:rsid w:val="00324CDF"/>
    <w:rsid w:val="00326210"/>
    <w:rsid w:val="003322E2"/>
    <w:rsid w:val="003327C2"/>
    <w:rsid w:val="00332A04"/>
    <w:rsid w:val="00334831"/>
    <w:rsid w:val="003439DD"/>
    <w:rsid w:val="00345671"/>
    <w:rsid w:val="0035058A"/>
    <w:rsid w:val="00353CED"/>
    <w:rsid w:val="00354EEE"/>
    <w:rsid w:val="00357D01"/>
    <w:rsid w:val="00361BAB"/>
    <w:rsid w:val="003636A2"/>
    <w:rsid w:val="00363C3E"/>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7C06"/>
    <w:rsid w:val="005149DB"/>
    <w:rsid w:val="00515101"/>
    <w:rsid w:val="00530CAA"/>
    <w:rsid w:val="005355C6"/>
    <w:rsid w:val="00544080"/>
    <w:rsid w:val="0055317F"/>
    <w:rsid w:val="00553D74"/>
    <w:rsid w:val="00554026"/>
    <w:rsid w:val="00555C10"/>
    <w:rsid w:val="00557CB8"/>
    <w:rsid w:val="00560E85"/>
    <w:rsid w:val="005625C2"/>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337F"/>
    <w:rsid w:val="00614792"/>
    <w:rsid w:val="0061721E"/>
    <w:rsid w:val="006378CF"/>
    <w:rsid w:val="00642C54"/>
    <w:rsid w:val="00645013"/>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6973"/>
    <w:rsid w:val="006A1250"/>
    <w:rsid w:val="006A5F11"/>
    <w:rsid w:val="006A784F"/>
    <w:rsid w:val="006B318B"/>
    <w:rsid w:val="006C5845"/>
    <w:rsid w:val="006C5B42"/>
    <w:rsid w:val="006D3219"/>
    <w:rsid w:val="006D6009"/>
    <w:rsid w:val="006E0140"/>
    <w:rsid w:val="006E2700"/>
    <w:rsid w:val="006E33C4"/>
    <w:rsid w:val="006E7177"/>
    <w:rsid w:val="006F2450"/>
    <w:rsid w:val="006F43DD"/>
    <w:rsid w:val="006F4773"/>
    <w:rsid w:val="006F7FB4"/>
    <w:rsid w:val="007042E8"/>
    <w:rsid w:val="0070662F"/>
    <w:rsid w:val="00707759"/>
    <w:rsid w:val="0071379B"/>
    <w:rsid w:val="00715211"/>
    <w:rsid w:val="007171A8"/>
    <w:rsid w:val="0071782E"/>
    <w:rsid w:val="007206AE"/>
    <w:rsid w:val="007213C6"/>
    <w:rsid w:val="00722392"/>
    <w:rsid w:val="0072616A"/>
    <w:rsid w:val="00732B2D"/>
    <w:rsid w:val="00733EB6"/>
    <w:rsid w:val="007347EC"/>
    <w:rsid w:val="00743CB0"/>
    <w:rsid w:val="00747C84"/>
    <w:rsid w:val="00747E14"/>
    <w:rsid w:val="00752908"/>
    <w:rsid w:val="00753946"/>
    <w:rsid w:val="007566B0"/>
    <w:rsid w:val="007622B3"/>
    <w:rsid w:val="00765CD8"/>
    <w:rsid w:val="007667C8"/>
    <w:rsid w:val="007736C6"/>
    <w:rsid w:val="0077432F"/>
    <w:rsid w:val="00774987"/>
    <w:rsid w:val="00777490"/>
    <w:rsid w:val="007777EF"/>
    <w:rsid w:val="00781509"/>
    <w:rsid w:val="00781B28"/>
    <w:rsid w:val="00782008"/>
    <w:rsid w:val="00782423"/>
    <w:rsid w:val="0078526B"/>
    <w:rsid w:val="00791BE2"/>
    <w:rsid w:val="0079207F"/>
    <w:rsid w:val="0079256E"/>
    <w:rsid w:val="00794699"/>
    <w:rsid w:val="00794879"/>
    <w:rsid w:val="007A06E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49C6"/>
    <w:rsid w:val="00834B53"/>
    <w:rsid w:val="00845B0F"/>
    <w:rsid w:val="00846CDE"/>
    <w:rsid w:val="0084774D"/>
    <w:rsid w:val="008614DC"/>
    <w:rsid w:val="00876189"/>
    <w:rsid w:val="008771E4"/>
    <w:rsid w:val="00877825"/>
    <w:rsid w:val="00884A25"/>
    <w:rsid w:val="00886073"/>
    <w:rsid w:val="00890677"/>
    <w:rsid w:val="0089185F"/>
    <w:rsid w:val="00891C1C"/>
    <w:rsid w:val="00893BD1"/>
    <w:rsid w:val="0089556C"/>
    <w:rsid w:val="00896AA9"/>
    <w:rsid w:val="008974DB"/>
    <w:rsid w:val="008A365F"/>
    <w:rsid w:val="008A431F"/>
    <w:rsid w:val="008A72DD"/>
    <w:rsid w:val="008A737F"/>
    <w:rsid w:val="008B0002"/>
    <w:rsid w:val="008B209B"/>
    <w:rsid w:val="008B69B5"/>
    <w:rsid w:val="008B6B40"/>
    <w:rsid w:val="008D5E0B"/>
    <w:rsid w:val="008D6FBC"/>
    <w:rsid w:val="008E3701"/>
    <w:rsid w:val="008E3D66"/>
    <w:rsid w:val="008E7464"/>
    <w:rsid w:val="008E7BEC"/>
    <w:rsid w:val="008F1340"/>
    <w:rsid w:val="008F1477"/>
    <w:rsid w:val="008F2B8E"/>
    <w:rsid w:val="0090225A"/>
    <w:rsid w:val="00903543"/>
    <w:rsid w:val="00903904"/>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568F"/>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3127"/>
    <w:rsid w:val="009A7AB0"/>
    <w:rsid w:val="009A7B87"/>
    <w:rsid w:val="009B0E1F"/>
    <w:rsid w:val="009B281A"/>
    <w:rsid w:val="009B5DBA"/>
    <w:rsid w:val="009B64C5"/>
    <w:rsid w:val="009B751E"/>
    <w:rsid w:val="009C2EAC"/>
    <w:rsid w:val="009C40E6"/>
    <w:rsid w:val="009D33A0"/>
    <w:rsid w:val="009D7BC2"/>
    <w:rsid w:val="009E3A39"/>
    <w:rsid w:val="009E4BCB"/>
    <w:rsid w:val="009E68C1"/>
    <w:rsid w:val="009E7CEE"/>
    <w:rsid w:val="009F4FE4"/>
    <w:rsid w:val="009F5C6B"/>
    <w:rsid w:val="009F6977"/>
    <w:rsid w:val="009F6A1C"/>
    <w:rsid w:val="00A0368D"/>
    <w:rsid w:val="00A04E73"/>
    <w:rsid w:val="00A054D6"/>
    <w:rsid w:val="00A10728"/>
    <w:rsid w:val="00A2561E"/>
    <w:rsid w:val="00A30093"/>
    <w:rsid w:val="00A36825"/>
    <w:rsid w:val="00A3700E"/>
    <w:rsid w:val="00A3722B"/>
    <w:rsid w:val="00A46D93"/>
    <w:rsid w:val="00A55268"/>
    <w:rsid w:val="00A57F79"/>
    <w:rsid w:val="00A62353"/>
    <w:rsid w:val="00A62983"/>
    <w:rsid w:val="00A62DD6"/>
    <w:rsid w:val="00A77A9C"/>
    <w:rsid w:val="00A77DC2"/>
    <w:rsid w:val="00A853B3"/>
    <w:rsid w:val="00A867B7"/>
    <w:rsid w:val="00A953DB"/>
    <w:rsid w:val="00AA2383"/>
    <w:rsid w:val="00AA5FE3"/>
    <w:rsid w:val="00AB3603"/>
    <w:rsid w:val="00AB494E"/>
    <w:rsid w:val="00AC358A"/>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74A4"/>
    <w:rsid w:val="00BA7E0B"/>
    <w:rsid w:val="00BA7EAE"/>
    <w:rsid w:val="00BB33A4"/>
    <w:rsid w:val="00BB360B"/>
    <w:rsid w:val="00BB50C1"/>
    <w:rsid w:val="00BC46CE"/>
    <w:rsid w:val="00BC4ABA"/>
    <w:rsid w:val="00BC690D"/>
    <w:rsid w:val="00BD1DFF"/>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43A4"/>
    <w:rsid w:val="00CD6350"/>
    <w:rsid w:val="00CE1120"/>
    <w:rsid w:val="00CE12F3"/>
    <w:rsid w:val="00CE4834"/>
    <w:rsid w:val="00CE7E76"/>
    <w:rsid w:val="00CF4850"/>
    <w:rsid w:val="00CF494D"/>
    <w:rsid w:val="00CF6A08"/>
    <w:rsid w:val="00D006E3"/>
    <w:rsid w:val="00D00A2F"/>
    <w:rsid w:val="00D00D00"/>
    <w:rsid w:val="00D01E85"/>
    <w:rsid w:val="00D0249A"/>
    <w:rsid w:val="00D052E5"/>
    <w:rsid w:val="00D05F0F"/>
    <w:rsid w:val="00D06776"/>
    <w:rsid w:val="00D073FC"/>
    <w:rsid w:val="00D110D3"/>
    <w:rsid w:val="00D153E5"/>
    <w:rsid w:val="00D21ADE"/>
    <w:rsid w:val="00D310A4"/>
    <w:rsid w:val="00D31A33"/>
    <w:rsid w:val="00D332F0"/>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C3E"/>
    <w:rsid w:val="00DB261B"/>
    <w:rsid w:val="00DB655D"/>
    <w:rsid w:val="00DB6C11"/>
    <w:rsid w:val="00DC093A"/>
    <w:rsid w:val="00DC5771"/>
    <w:rsid w:val="00DD437E"/>
    <w:rsid w:val="00DE1639"/>
    <w:rsid w:val="00DE3908"/>
    <w:rsid w:val="00DE7088"/>
    <w:rsid w:val="00DE720A"/>
    <w:rsid w:val="00DF04EF"/>
    <w:rsid w:val="00DF45E8"/>
    <w:rsid w:val="00DF51BB"/>
    <w:rsid w:val="00E054BA"/>
    <w:rsid w:val="00E131C9"/>
    <w:rsid w:val="00E1454C"/>
    <w:rsid w:val="00E1641F"/>
    <w:rsid w:val="00E20A11"/>
    <w:rsid w:val="00E25C1E"/>
    <w:rsid w:val="00E32027"/>
    <w:rsid w:val="00E32C78"/>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3774"/>
    <w:rsid w:val="00F43F03"/>
    <w:rsid w:val="00F470FB"/>
    <w:rsid w:val="00F507AC"/>
    <w:rsid w:val="00F54060"/>
    <w:rsid w:val="00F564B8"/>
    <w:rsid w:val="00F6051D"/>
    <w:rsid w:val="00F61005"/>
    <w:rsid w:val="00F64DA8"/>
    <w:rsid w:val="00F65A36"/>
    <w:rsid w:val="00F81CA1"/>
    <w:rsid w:val="00F8247C"/>
    <w:rsid w:val="00F82895"/>
    <w:rsid w:val="00F83276"/>
    <w:rsid w:val="00F83DA2"/>
    <w:rsid w:val="00F84EF3"/>
    <w:rsid w:val="00F85C46"/>
    <w:rsid w:val="00F925B5"/>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73D75-2D1F-47F8-87F7-800A68CED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15</Pages>
  <Words>5813</Words>
  <Characters>34879</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209</cp:revision>
  <cp:lastPrinted>2024-06-17T08:20:00Z</cp:lastPrinted>
  <dcterms:created xsi:type="dcterms:W3CDTF">2023-04-27T12:06:00Z</dcterms:created>
  <dcterms:modified xsi:type="dcterms:W3CDTF">2024-06-18T12:02:00Z</dcterms:modified>
</cp:coreProperties>
</file>