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ind w:left="0" w:right="0" w:firstLine="0"/>
        <w:jc w:val="center"/>
        <w:rPr>
          <w:b w:val="1"/>
          <w:i w:val="0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11.0" w:type="dxa"/>
        <w:jc w:val="left"/>
        <w:tblInd w:w="14.0" w:type="dxa"/>
        <w:tblLayout w:type="fixed"/>
        <w:tblLook w:val="0000"/>
      </w:tblPr>
      <w:tblGrid>
        <w:gridCol w:w="9044"/>
        <w:gridCol w:w="867"/>
        <w:tblGridChange w:id="0">
          <w:tblGrid>
            <w:gridCol w:w="9044"/>
            <w:gridCol w:w="8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tabs>
                <w:tab w:val="left" w:leader="none" w:pos="8150"/>
              </w:tabs>
              <w:ind w:left="0" w:right="-1163" w:firstLine="0"/>
              <w:jc w:val="left"/>
              <w:rPr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CZĘŚĆ OPISOWA  INWENTARYZACJI </w:t>
            </w:r>
            <w:r w:rsidDel="00000000" w:rsidR="00000000" w:rsidRPr="00000000">
              <w:rPr>
                <w:b w:val="1"/>
                <w:sz w:val="28"/>
                <w:szCs w:val="28"/>
                <w:u w:val="none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sz w:val="24"/>
                <w:szCs w:val="24"/>
                <w:u w:val="none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sz w:val="24"/>
                <w:szCs w:val="24"/>
                <w:u w:val="no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widowControl w:val="0"/>
              <w:ind w:left="0" w:righ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04">
      <w:pPr>
        <w:tabs>
          <w:tab w:val="left" w:leader="none" w:pos="0"/>
        </w:tabs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tabs>
          <w:tab w:val="left" w:leader="none" w:pos="0"/>
        </w:tabs>
        <w:ind w:left="720" w:right="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Dane informacyjne ogólne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5"/>
        </w:numPr>
        <w:tabs>
          <w:tab w:val="left" w:leader="none" w:pos="0"/>
          <w:tab w:val="left" w:leader="none" w:pos="1134"/>
        </w:tabs>
        <w:ind w:left="567" w:firstLine="27.99999999999997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do inwentaryzacji dla  : PRZEBUDOWA I ROZBUDOWA BUDYNKU WARSZTATOWEGO CENTRUM NAUK TECHNICZNYCH W CHOJNICACH WRAZ Z INFRASTRUKTURĄ TECHNICZNĄ I ZAGOSPODAROWANIEM TERENU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1"/>
          <w:numId w:val="5"/>
        </w:numPr>
        <w:tabs>
          <w:tab w:val="left" w:leader="none" w:pos="0"/>
          <w:tab w:val="left" w:leader="none" w:pos="1134"/>
        </w:tabs>
        <w:ind w:left="567" w:firstLine="27.99999999999997"/>
        <w:rPr/>
      </w:pPr>
      <w:r w:rsidDel="00000000" w:rsidR="00000000" w:rsidRPr="00000000">
        <w:rPr>
          <w:sz w:val="24"/>
          <w:szCs w:val="24"/>
          <w:rtl w:val="0"/>
        </w:rPr>
        <w:t xml:space="preserve">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Przedmiot zamierzenia budowlanego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Przedmiotem zamierzenia budowlanego jest: przebudowa i rozbudowa budynku warsztatowego Centrum Nauk Technicznych w Chojnicach wraz z infrastrukturą techniczną i zagospodarowaniem terenu  na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terenie działek o identyfikatorach:  220201_1.0001.4275/1, 220201_1.0001.4275/2 , 220201_1.0001.4277,  w m. Chojnice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tabs>
          <w:tab w:val="left" w:leader="none" w:pos="575"/>
        </w:tabs>
        <w:ind w:left="0" w:right="0" w:firstLine="0"/>
        <w:jc w:val="left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tabs>
          <w:tab w:val="left" w:leader="none" w:pos="0"/>
        </w:tabs>
        <w:ind w:left="0" w:right="0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Przeznaczenie i program użytkowy inwentaryzowanego obiektu.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numPr>
          <w:ilvl w:val="1"/>
          <w:numId w:val="5"/>
        </w:numPr>
        <w:tabs>
          <w:tab w:val="left" w:leader="none" w:pos="575"/>
        </w:tabs>
        <w:ind w:left="575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Obiekt pełnił  funkcje dydaktyczne szkoły średniej (hala spawalni i sale lekcyjne)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5"/>
        </w:numPr>
        <w:tabs>
          <w:tab w:val="left" w:leader="none" w:pos="575"/>
        </w:tabs>
        <w:ind w:left="575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Program użytkowy: zestawienie nazw pomieszczeń, rodzaju  posadzek, wielkości powierzchniowe znajdują się na rzutach kondygnacji . </w:t>
      </w:r>
    </w:p>
    <w:p w:rsidR="00000000" w:rsidDel="00000000" w:rsidP="00000000" w:rsidRDefault="00000000" w:rsidRPr="00000000" w14:paraId="0000000C">
      <w:pPr>
        <w:tabs>
          <w:tab w:val="left" w:leader="none" w:pos="0"/>
        </w:tabs>
        <w:ind w:left="0" w:right="0" w:firstLine="0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tabs>
          <w:tab w:val="left" w:leader="none" w:pos="0"/>
        </w:tabs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liczbowe określające obiekt budowlany:</w:t>
      </w:r>
    </w:p>
    <w:p w:rsidR="00000000" w:rsidDel="00000000" w:rsidP="00000000" w:rsidRDefault="00000000" w:rsidRPr="00000000" w14:paraId="0000000E">
      <w:pPr>
        <w:tabs>
          <w:tab w:val="left" w:leader="none" w:pos="0"/>
        </w:tabs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tabs>
          <w:tab w:val="left" w:leader="none" w:pos="0"/>
        </w:tabs>
        <w:ind w:left="1080" w:right="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Powierzchnia zabudowy:    427,60m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tabs>
          <w:tab w:val="left" w:leader="none" w:pos="0"/>
        </w:tabs>
        <w:ind w:left="1080" w:right="0" w:hanging="360"/>
        <w:rPr/>
      </w:pPr>
      <w:r w:rsidDel="00000000" w:rsidR="00000000" w:rsidRPr="00000000">
        <w:rPr>
          <w:sz w:val="24"/>
          <w:szCs w:val="24"/>
          <w:u w:val="none"/>
          <w:vertAlign w:val="baseline"/>
          <w:rtl w:val="0"/>
        </w:rPr>
        <w:t xml:space="preserve">Powierzchnia całkowita:  </w:t>
      </w:r>
      <w:r w:rsidDel="00000000" w:rsidR="00000000" w:rsidRPr="00000000">
        <w:rPr>
          <w:sz w:val="24"/>
          <w:szCs w:val="24"/>
          <w:rtl w:val="0"/>
        </w:rPr>
        <w:t xml:space="preserve">820,50  </w:t>
      </w:r>
      <w:r w:rsidDel="00000000" w:rsidR="00000000" w:rsidRPr="00000000">
        <w:rPr>
          <w:sz w:val="24"/>
          <w:szCs w:val="24"/>
          <w:u w:val="none"/>
          <w:vertAlign w:val="baseline"/>
          <w:rtl w:val="0"/>
        </w:rPr>
        <w:t xml:space="preserve">m</w:t>
      </w:r>
      <w:r w:rsidDel="00000000" w:rsidR="00000000" w:rsidRPr="00000000">
        <w:rPr>
          <w:sz w:val="24"/>
          <w:szCs w:val="24"/>
          <w:u w:val="none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tabs>
          <w:tab w:val="left" w:leader="none" w:pos="0"/>
        </w:tabs>
        <w:ind w:left="1080" w:right="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Powierzchnia użytkowa:  568,70 m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tabs>
          <w:tab w:val="left" w:leader="none" w:pos="0"/>
        </w:tabs>
        <w:ind w:left="1080" w:right="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Kubatura: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3113,99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m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0"/>
        </w:tabs>
        <w:ind w:left="0" w:right="0" w:firstLine="0"/>
        <w:rPr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tabs>
          <w:tab w:val="left" w:leader="none" w:pos="0"/>
        </w:tabs>
        <w:ind w:left="0" w:right="0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Forma architektoniczna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0"/>
        </w:tabs>
        <w:ind w:left="567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Przedmiotowy budynek posiada 2 kondygnacje naziemne bez podpiwniczenia, maksymalna wysokość budynku to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7,68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m, dach płaski. Zabudowa powstała w wyniku wielu etapów obejmujących rozbudowy i nadbudowy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tabs>
          <w:tab w:val="left" w:leader="none" w:pos="0"/>
        </w:tabs>
        <w:ind w:left="0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Główne wejście do szkoły znajduje się od strony działki 495/180. Budynek posiada jedną nienormatywną klatkę schodową bez dostępu osób niepełnosprawnych.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0"/>
        </w:tabs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Funkcja obiektu: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tabs>
          <w:tab w:val="left" w:leader="none" w:pos="0"/>
        </w:tabs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Funkcja budynku – obiekt  pełni funkcje edukacyjne w zakresie szkoły średniej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ind w:left="363" w:right="0" w:firstLine="0"/>
        <w:jc w:val="left"/>
        <w:rPr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Opis elementów konstrukcyjnych oraz wykończenia wewnętrznego 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right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zewnętrznego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Konstrukcja </w:t>
      </w:r>
      <w:r w:rsidDel="00000000" w:rsidR="00000000" w:rsidRPr="00000000">
        <w:rPr>
          <w:sz w:val="24"/>
          <w:szCs w:val="24"/>
          <w:rtl w:val="0"/>
        </w:rPr>
        <w:t xml:space="preserve">główna murowa</w:t>
      </w:r>
      <w:r w:rsidDel="00000000" w:rsidR="00000000" w:rsidRPr="00000000">
        <w:rPr>
          <w:b w:val="0"/>
          <w:sz w:val="24"/>
          <w:szCs w:val="24"/>
          <w:rtl w:val="0"/>
        </w:rPr>
        <w:t xml:space="preserve">, stropy </w:t>
      </w:r>
      <w:r w:rsidDel="00000000" w:rsidR="00000000" w:rsidRPr="00000000">
        <w:rPr>
          <w:sz w:val="24"/>
          <w:szCs w:val="24"/>
          <w:rtl w:val="0"/>
        </w:rPr>
        <w:t xml:space="preserve">prefabrykowane i betonowe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  wylewane</w:t>
      </w:r>
      <w:r w:rsidDel="00000000" w:rsidR="00000000" w:rsidRPr="00000000">
        <w:rPr>
          <w:b w:val="0"/>
          <w:sz w:val="24"/>
          <w:szCs w:val="24"/>
          <w:rtl w:val="0"/>
        </w:rPr>
        <w:t xml:space="preserve">.Klatka schodowa o konstrukcji żelbetowej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Konstrukcja </w:t>
      </w:r>
      <w:r w:rsidDel="00000000" w:rsidR="00000000" w:rsidRPr="00000000">
        <w:rPr>
          <w:sz w:val="24"/>
          <w:szCs w:val="24"/>
          <w:rtl w:val="0"/>
        </w:rPr>
        <w:t xml:space="preserve">hali spawalni</w:t>
      </w:r>
      <w:r w:rsidDel="00000000" w:rsidR="00000000" w:rsidRPr="00000000">
        <w:rPr>
          <w:b w:val="0"/>
          <w:sz w:val="24"/>
          <w:szCs w:val="24"/>
          <w:rtl w:val="0"/>
        </w:rPr>
        <w:t xml:space="preserve"> - dźwigary </w:t>
      </w:r>
      <w:r w:rsidDel="00000000" w:rsidR="00000000" w:rsidRPr="00000000">
        <w:rPr>
          <w:sz w:val="24"/>
          <w:szCs w:val="24"/>
          <w:rtl w:val="0"/>
        </w:rPr>
        <w:t xml:space="preserve">główne stalowe wsparte </w:t>
      </w:r>
      <w:r w:rsidDel="00000000" w:rsidR="00000000" w:rsidRPr="00000000">
        <w:rPr>
          <w:b w:val="0"/>
          <w:sz w:val="24"/>
          <w:szCs w:val="24"/>
          <w:rtl w:val="0"/>
        </w:rPr>
        <w:t xml:space="preserve"> na </w:t>
      </w:r>
      <w:r w:rsidDel="00000000" w:rsidR="00000000" w:rsidRPr="00000000">
        <w:rPr>
          <w:sz w:val="24"/>
          <w:szCs w:val="24"/>
          <w:rtl w:val="0"/>
        </w:rPr>
        <w:t xml:space="preserve">ścianach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  nośnych murowanych z stalowymi ryglami dachowymi pokryta blachą trapezową</w:t>
      </w:r>
      <w:r w:rsidDel="00000000" w:rsidR="00000000" w:rsidRPr="00000000">
        <w:rPr>
          <w:b w:val="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Fundamenty : </w:t>
      </w:r>
      <w:r w:rsidDel="00000000" w:rsidR="00000000" w:rsidRPr="00000000">
        <w:rPr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ż</w:t>
      </w:r>
      <w:r w:rsidDel="00000000" w:rsidR="00000000" w:rsidRPr="00000000">
        <w:rPr>
          <w:b w:val="0"/>
          <w:sz w:val="24"/>
          <w:szCs w:val="24"/>
          <w:rtl w:val="0"/>
        </w:rPr>
        <w:t xml:space="preserve">elbetowe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Ściany nośne wewnętrzne</w:t>
      </w:r>
      <w:r w:rsidDel="00000000" w:rsidR="00000000" w:rsidRPr="00000000">
        <w:rPr>
          <w:sz w:val="24"/>
          <w:szCs w:val="24"/>
          <w:rtl w:val="0"/>
        </w:rPr>
        <w:t xml:space="preserve"> i zewnętrzne</w:t>
      </w:r>
      <w:r w:rsidDel="00000000" w:rsidR="00000000" w:rsidRPr="00000000">
        <w:rPr>
          <w:b w:val="0"/>
          <w:sz w:val="24"/>
          <w:szCs w:val="24"/>
          <w:rtl w:val="0"/>
        </w:rPr>
        <w:t xml:space="preserve"> murowane z bloczków, p</w:t>
      </w:r>
      <w:r w:rsidDel="00000000" w:rsidR="00000000" w:rsidRPr="00000000">
        <w:rPr>
          <w:sz w:val="24"/>
          <w:szCs w:val="24"/>
          <w:rtl w:val="0"/>
        </w:rPr>
        <w:t xml:space="preserve">ustaków</w:t>
      </w:r>
      <w:r w:rsidDel="00000000" w:rsidR="00000000" w:rsidRPr="00000000">
        <w:rPr>
          <w:b w:val="0"/>
          <w:sz w:val="24"/>
          <w:szCs w:val="24"/>
          <w:rtl w:val="0"/>
        </w:rPr>
        <w:t xml:space="preserve">  i cegły w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0"/>
          <w:sz w:val="24"/>
          <w:szCs w:val="24"/>
          <w:rtl w:val="0"/>
        </w:rPr>
        <w:t xml:space="preserve">różnorodny </w:t>
      </w: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b w:val="0"/>
          <w:sz w:val="24"/>
          <w:szCs w:val="24"/>
          <w:rtl w:val="0"/>
        </w:rPr>
        <w:t xml:space="preserve">sposób.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Ściany zewnętrzne: murowane w części nadziemnej   ociepl</w:t>
      </w:r>
      <w:r w:rsidDel="00000000" w:rsidR="00000000" w:rsidRPr="00000000">
        <w:rPr>
          <w:sz w:val="24"/>
          <w:szCs w:val="24"/>
          <w:rtl w:val="0"/>
        </w:rPr>
        <w:t xml:space="preserve">one </w:t>
      </w:r>
      <w:r w:rsidDel="00000000" w:rsidR="00000000" w:rsidRPr="00000000">
        <w:rPr>
          <w:b w:val="0"/>
          <w:sz w:val="24"/>
          <w:szCs w:val="24"/>
          <w:rtl w:val="0"/>
        </w:rPr>
        <w:t xml:space="preserve">  styropian</w:t>
      </w:r>
      <w:r w:rsidDel="00000000" w:rsidR="00000000" w:rsidRPr="00000000">
        <w:rPr>
          <w:sz w:val="24"/>
          <w:szCs w:val="24"/>
          <w:rtl w:val="0"/>
        </w:rPr>
        <w:t xml:space="preserve">em</w:t>
      </w:r>
      <w:r w:rsidDel="00000000" w:rsidR="00000000" w:rsidRPr="00000000">
        <w:rPr>
          <w:b w:val="0"/>
          <w:sz w:val="24"/>
          <w:szCs w:val="24"/>
          <w:rtl w:val="0"/>
        </w:rPr>
        <w:t xml:space="preserve">  gr. 1</w:t>
      </w: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b w:val="0"/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  </w:t>
      </w:r>
      <w:r w:rsidDel="00000000" w:rsidR="00000000" w:rsidRPr="00000000">
        <w:rPr>
          <w:b w:val="0"/>
          <w:sz w:val="24"/>
          <w:szCs w:val="24"/>
          <w:rtl w:val="0"/>
        </w:rPr>
        <w:t xml:space="preserve">cm, a w części podziemnej i cokołu ok. </w:t>
      </w:r>
      <w:r w:rsidDel="00000000" w:rsidR="00000000" w:rsidRPr="00000000">
        <w:rPr>
          <w:sz w:val="24"/>
          <w:szCs w:val="24"/>
          <w:rtl w:val="0"/>
        </w:rPr>
        <w:t xml:space="preserve">10 cm.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Ściany działowe : Murowane z cegły oraz pustaków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Wykończenie ścian zewnętrznych : </w:t>
        <w:br w:type="textWrapping"/>
        <w:t xml:space="preserve">                   - w części nadziemnej:  wyprawa cienkowarstwowa malowana,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1080" w:right="0" w:firstLine="0"/>
        <w:jc w:val="left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- cokół : wyprawa cienkowarstwowa malowana,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Powłoki malarskie, okładziny wewnętrzne : Farby emulsyjne . W łazienkach,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b w:val="0"/>
          <w:sz w:val="24"/>
          <w:szCs w:val="24"/>
          <w:rtl w:val="0"/>
        </w:rPr>
        <w:t xml:space="preserve">pomieszczeniach socjalnych płytki ceramiczne.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Stropy : </w:t>
      </w:r>
      <w:r w:rsidDel="00000000" w:rsidR="00000000" w:rsidRPr="00000000">
        <w:rPr>
          <w:sz w:val="24"/>
          <w:szCs w:val="24"/>
          <w:rtl w:val="0"/>
        </w:rPr>
        <w:t xml:space="preserve">, stropy prefabrykowane i betonowe   wylewane </w:t>
      </w:r>
      <w:r w:rsidDel="00000000" w:rsidR="00000000" w:rsidRPr="00000000">
        <w:rPr>
          <w:b w:val="0"/>
          <w:sz w:val="24"/>
          <w:szCs w:val="24"/>
          <w:rtl w:val="0"/>
        </w:rPr>
        <w:t xml:space="preserve"> oparte na </w:t>
      </w:r>
      <w:r w:rsidDel="00000000" w:rsidR="00000000" w:rsidRPr="00000000">
        <w:rPr>
          <w:sz w:val="24"/>
          <w:szCs w:val="24"/>
          <w:rtl w:val="0"/>
        </w:rPr>
        <w:t xml:space="preserve">ścianach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Sufity : Tynk cementowo wapienny 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Podłogi i posadzki : płytki ceramiczne, wykładziny </w:t>
      </w:r>
      <w:r w:rsidDel="00000000" w:rsidR="00000000" w:rsidRPr="00000000">
        <w:rPr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PCV</w:t>
      </w:r>
      <w:r w:rsidDel="00000000" w:rsidR="00000000" w:rsidRPr="00000000">
        <w:rPr>
          <w:sz w:val="24"/>
          <w:szCs w:val="24"/>
          <w:rtl w:val="0"/>
        </w:rPr>
        <w:t xml:space="preserve">, z lastryko. </w:t>
      </w:r>
      <w:r w:rsidDel="00000000" w:rsidR="00000000" w:rsidRPr="00000000">
        <w:rPr>
          <w:b w:val="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W hali - posadzka </w:t>
      </w:r>
      <w:r w:rsidDel="00000000" w:rsidR="00000000" w:rsidRPr="00000000">
        <w:rPr>
          <w:b w:val="0"/>
          <w:sz w:val="24"/>
          <w:szCs w:val="24"/>
          <w:rtl w:val="0"/>
        </w:rPr>
        <w:t xml:space="preserve">cementow</w:t>
      </w:r>
      <w:r w:rsidDel="00000000" w:rsidR="00000000" w:rsidRPr="00000000">
        <w:rPr>
          <w:sz w:val="24"/>
          <w:szCs w:val="24"/>
          <w:rtl w:val="0"/>
        </w:rPr>
        <w:t xml:space="preserve">a</w:t>
      </w:r>
      <w:r w:rsidDel="00000000" w:rsidR="00000000" w:rsidRPr="00000000">
        <w:rPr>
          <w:b w:val="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Stropo</w:t>
      </w:r>
      <w:r w:rsidDel="00000000" w:rsidR="00000000" w:rsidRPr="00000000">
        <w:rPr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sz w:val="24"/>
          <w:szCs w:val="24"/>
          <w:rtl w:val="0"/>
        </w:rPr>
        <w:t xml:space="preserve">ach :  z płyt prefabrykowanych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2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Pokrycie - papa termozgrzewalna.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2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Obróbki blacharskie - z blachy ocynkowanej.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Kominy ponad dachem murowane, tynkowane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Schody wewnętrzne</w:t>
      </w:r>
      <w:r w:rsidDel="00000000" w:rsidR="00000000" w:rsidRPr="00000000">
        <w:rPr>
          <w:sz w:val="24"/>
          <w:szCs w:val="24"/>
          <w:rtl w:val="0"/>
        </w:rPr>
        <w:t xml:space="preserve"> : Konstrukcja żelbetowa wylewane na mokro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Wykończenie klatek schodowych wewnętrznych : lastryko, balustrady stalowe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Stolarka, ślusarka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2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Stolarka okienna PCV w kolorze białym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2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/>
      </w:pPr>
      <w:r w:rsidDel="00000000" w:rsidR="00000000" w:rsidRPr="00000000">
        <w:rPr>
          <w:sz w:val="24"/>
          <w:szCs w:val="24"/>
          <w:rtl w:val="0"/>
        </w:rPr>
        <w:t xml:space="preserve">Stolarka drzwiowa aluminiowa w kolorze brązowym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>
          <w:rFonts w:ascii="Times New Roman" w:cs="Times New Roman" w:eastAsia="Times New Roman" w:hAnsi="Times New Roman"/>
          <w:b w:val="0"/>
          <w:i w:val="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0" w:righ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Opis zasadniczych elementy wyposażenia budowlano  instalacyjnego.</w:t>
        <w:br w:type="textWrapping"/>
      </w:r>
    </w:p>
    <w:p w:rsidR="00000000" w:rsidDel="00000000" w:rsidP="00000000" w:rsidRDefault="00000000" w:rsidRPr="00000000" w14:paraId="00000038">
      <w:p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right="0" w:firstLine="0"/>
        <w:rPr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Instalacja wody zimnej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Przyłącze - podłączenie do sieci miejskiej.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Instalacja hydrantowa - brak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Instalacja wody - z rur stalowych ocynkowanych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numPr>
          <w:ilvl w:val="1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tabs>
          <w:tab w:val="left" w:leader="none" w:pos="-595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firstLine="27.99999999999997"/>
        <w:rPr>
          <w:rFonts w:ascii="Noto Sans Symbols" w:cs="Noto Sans Symbols" w:eastAsia="Noto Sans Symbols" w:hAnsi="Noto Sans Symbols"/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Instalacja wody ciepłej 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Ciepła woda - przygotowywana centralnie w węźle (budynek Warsztatów)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Instalacja wody - z rur stalowych ocynkowanych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numPr>
          <w:ilvl w:val="1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firstLine="27.99999999999997"/>
        <w:rPr>
          <w:rFonts w:ascii="Noto Sans Symbols" w:cs="Noto Sans Symbols" w:eastAsia="Noto Sans Symbols" w:hAnsi="Noto Sans Symbols"/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Instalacja c.o.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Sposób ogrzewania – węzeł SEC (w budynku Warsztatów)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Instalacja - z rur stalowych.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Instalacja CO - z rur stalowych. Grzejniki – stalowe płytowe, grzejniki Faviera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numPr>
          <w:ilvl w:val="1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firstLine="27.99999999999997"/>
        <w:rPr>
          <w:rFonts w:ascii="Noto Sans Symbols" w:cs="Noto Sans Symbols" w:eastAsia="Noto Sans Symbols" w:hAnsi="Noto Sans Symbols"/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Kanalizacja sanitarna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Przyłącze - podłączenie do sieci miejskiej.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Instalacja - z rur żeliwnych i PCV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Podejścia do urządzeń sanitarnych - PVC i żeliwne. Standardowa ceramika sanitarna.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numPr>
          <w:ilvl w:val="1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firstLine="27.99999999999997"/>
        <w:rPr>
          <w:rFonts w:ascii="Noto Sans Symbols" w:cs="Noto Sans Symbols" w:eastAsia="Noto Sans Symbols" w:hAnsi="Noto Sans Symbols"/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Kanalizacja deszczowa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Wody opadowe z dachu oraz terenów utwardzonych odprowadzane na teren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Instalacja – Rynny i rury spustowe stalowe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firstLine="72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numPr>
          <w:ilvl w:val="1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firstLine="27.99999999999997"/>
        <w:rPr>
          <w:rFonts w:ascii="Noto Sans Symbols" w:cs="Noto Sans Symbols" w:eastAsia="Noto Sans Symbols" w:hAnsi="Noto Sans Symbols"/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Wentylacja grawitacyjna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numPr>
          <w:ilvl w:val="1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firstLine="27.99999999999997"/>
        <w:rPr>
          <w:rFonts w:ascii="Noto Sans Symbols" w:cs="Noto Sans Symbols" w:eastAsia="Noto Sans Symbols" w:hAnsi="Noto Sans Symbols"/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Instalacja elektryczna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zasilanie z budynku Warsztatów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instalacja elektryczna wewnętrzna oświetleniowa i gniazd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numPr>
          <w:ilvl w:val="3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instalacja odgromowa</w:t>
      </w:r>
    </w:p>
    <w:p w:rsidR="00000000" w:rsidDel="00000000" w:rsidP="00000000" w:rsidRDefault="00000000" w:rsidRPr="00000000" w14:paraId="00000050">
      <w:pPr>
        <w:tabs>
          <w:tab w:val="left" w:leader="none" w:pos="0"/>
          <w:tab w:val="left" w:leader="none" w:pos="54"/>
          <w:tab w:val="left" w:leader="none" w:pos="60"/>
          <w:tab w:val="left" w:leader="none" w:pos="66"/>
          <w:tab w:val="left" w:leader="none" w:pos="72"/>
          <w:tab w:val="left" w:leader="none" w:pos="78"/>
          <w:tab w:val="left" w:leader="none" w:pos="84"/>
          <w:tab w:val="left" w:leader="none" w:pos="90"/>
          <w:tab w:val="left" w:leader="none" w:pos="96"/>
          <w:tab w:val="left" w:leader="none" w:pos="102"/>
          <w:tab w:val="left" w:leader="none" w:pos="720"/>
        </w:tabs>
        <w:ind w:left="567" w:right="0" w:firstLine="0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both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before="0" w:lineRule="auto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inwentaryzowała:</w:t>
        <w:tab/>
        <w:tab/>
        <w:tab/>
      </w:r>
    </w:p>
    <w:p w:rsidR="00000000" w:rsidDel="00000000" w:rsidP="00000000" w:rsidRDefault="00000000" w:rsidRPr="00000000" w14:paraId="00000054">
      <w:pPr>
        <w:spacing w:after="0" w:before="0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mgr inż. arch. A. Kufel-Szuca   </w:t>
        <w:tab/>
        <w:tab/>
        <w:t xml:space="preserve">  </w:t>
      </w:r>
    </w:p>
    <w:p w:rsidR="00000000" w:rsidDel="00000000" w:rsidP="00000000" w:rsidRDefault="00000000" w:rsidRPr="00000000" w14:paraId="00000055">
      <w:pPr>
        <w:spacing w:after="0" w:before="0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upr. w spec. architektonicznej</w:t>
        <w:tab/>
        <w:tab/>
      </w:r>
    </w:p>
    <w:p w:rsidR="00000000" w:rsidDel="00000000" w:rsidP="00000000" w:rsidRDefault="00000000" w:rsidRPr="00000000" w14:paraId="00000056">
      <w:pPr>
        <w:spacing w:after="0" w:before="0" w:lineRule="auto"/>
        <w:jc w:val="right"/>
        <w:rPr>
          <w:color w:val="ff0000"/>
          <w:sz w:val="24"/>
          <w:szCs w:val="24"/>
        </w:rPr>
      </w:pPr>
      <w:r w:rsidDel="00000000" w:rsidR="00000000" w:rsidRPr="00000000">
        <w:rPr>
          <w:sz w:val="18"/>
          <w:szCs w:val="18"/>
          <w:rtl w:val="0"/>
        </w:rPr>
        <w:t xml:space="preserve">upr. nr </w:t>
      </w:r>
      <w:r w:rsidDel="00000000" w:rsidR="00000000" w:rsidRPr="00000000">
        <w:rPr>
          <w:b w:val="1"/>
          <w:sz w:val="18"/>
          <w:szCs w:val="18"/>
          <w:rtl w:val="0"/>
        </w:rPr>
        <w:t xml:space="preserve">199/POOKK/V/2021</w:t>
        <w:tab/>
        <w:tab/>
      </w:r>
      <w:r w:rsidDel="00000000" w:rsidR="00000000" w:rsidRPr="00000000">
        <w:rPr>
          <w:b w:val="1"/>
          <w:color w:val="ff0000"/>
          <w:sz w:val="18"/>
          <w:szCs w:val="18"/>
          <w:rtl w:val="0"/>
        </w:rPr>
        <w:tab/>
      </w: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1418" w:right="1418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cs="Noto Sans Symbols" w:eastAsia="Noto Sans Symbols" w:hAnsi="Noto Sans Symbols"/>
        <w:b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1"/>
        <w:sz w:val="24"/>
        <w:szCs w:val="24"/>
        <w:vertAlign w:val="superscript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color w:val="000000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color w:val="000000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 %1.  "/>
      <w:lvlJc w:val="left"/>
      <w:pPr>
        <w:ind w:left="0" w:firstLine="0"/>
      </w:pPr>
      <w:rPr>
        <w:b w:val="1"/>
        <w:color w:val="000000"/>
        <w:sz w:val="24"/>
        <w:szCs w:val="24"/>
      </w:rPr>
    </w:lvl>
    <w:lvl w:ilvl="1">
      <w:start w:val="1"/>
      <w:numFmt w:val="decimal"/>
      <w:lvlText w:val="   %1.%2 "/>
      <w:lvlJc w:val="left"/>
      <w:pPr>
        <w:ind w:left="567" w:firstLine="28"/>
      </w:pPr>
      <w:rPr>
        <w:rFonts w:ascii="Times New Roman" w:cs="Times New Roman" w:eastAsia="Times New Roman" w:hAnsi="Times New Roman"/>
        <w:b w:val="1"/>
        <w:i w:val="1"/>
        <w:color w:val="000000"/>
        <w:sz w:val="24"/>
        <w:szCs w:val="24"/>
      </w:rPr>
    </w:lvl>
    <w:lvl w:ilvl="2">
      <w:start w:val="1"/>
      <w:numFmt w:val="decimal"/>
      <w:lvlText w:val="       %1.%2.%3.  "/>
      <w:lvlJc w:val="left"/>
      <w:pPr>
        <w:ind w:left="850" w:firstLine="0"/>
      </w:pPr>
      <w:rPr>
        <w:b w:val="1"/>
        <w:color w:val="000000"/>
        <w:sz w:val="24"/>
        <w:szCs w:val="24"/>
        <w:vertAlign w:val="baseline"/>
      </w:rPr>
    </w:lvl>
    <w:lvl w:ilvl="3">
      <w:start w:val="1"/>
      <w:numFmt w:val="decimal"/>
      <w:lvlText w:val="              %1.%2.%3.%4 "/>
      <w:lvlJc w:val="left"/>
      <w:pPr>
        <w:ind w:left="0" w:firstLine="0"/>
      </w:pPr>
      <w:rPr>
        <w:b w:val="0"/>
        <w:color w:val="00000a"/>
        <w:sz w:val="24"/>
        <w:szCs w:val="24"/>
        <w:vertAlign w:val="superscript"/>
      </w:rPr>
    </w:lvl>
    <w:lvl w:ilvl="4">
      <w:start w:val="1"/>
      <w:numFmt w:val="decimal"/>
      <w:lvlText w:val="                  %1.%2.%3.%4.%5 "/>
      <w:lvlJc w:val="left"/>
      <w:pPr>
        <w:ind w:left="0" w:firstLine="0"/>
      </w:pPr>
      <w:rPr/>
    </w:lvl>
    <w:lvl w:ilvl="5">
      <w:start w:val="1"/>
      <w:numFmt w:val="decimal"/>
      <w:lvlText w:val=" %1.%2.%3.%4.%5.%6 "/>
      <w:lvlJc w:val="left"/>
      <w:pPr>
        <w:ind w:left="0" w:firstLine="0"/>
      </w:pPr>
      <w:rPr/>
    </w:lvl>
    <w:lvl w:ilvl="6">
      <w:start w:val="1"/>
      <w:numFmt w:val="decimal"/>
      <w:lvlText w:val=" %1.%2.%3.%4.%5.%6.%7 "/>
      <w:lvlJc w:val="left"/>
      <w:pPr>
        <w:ind w:left="0" w:firstLine="0"/>
      </w:pPr>
      <w:rPr/>
    </w:lvl>
    <w:lvl w:ilvl="7">
      <w:start w:val="1"/>
      <w:numFmt w:val="decimal"/>
      <w:lvlText w:val=" %1.%2.%3.%4.%5.%6.%7.%8 "/>
      <w:lvlJc w:val="left"/>
      <w:pPr>
        <w:ind w:left="0" w:firstLine="0"/>
      </w:pPr>
      <w:rPr/>
    </w:lvl>
    <w:lvl w:ilvl="8">
      <w:start w:val="1"/>
      <w:numFmt w:val="decimal"/>
      <w:lvlText w:val=" %1.%2.%3.%4.%5.%6.%7.%8.%9 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ind w:left="0" w:firstLine="0"/>
      <w:jc w:val="both"/>
    </w:pPr>
    <w:rPr>
      <w:rFonts w:ascii="Century Gothic" w:cs="Century Gothic" w:eastAsia="Century Gothic" w:hAnsi="Century Gothic"/>
      <w:sz w:val="20"/>
      <w:szCs w:val="20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ind w:left="0" w:firstLine="0"/>
      <w:jc w:val="both"/>
    </w:pPr>
    <w:rPr>
      <w:rFonts w:ascii="Century Gothic" w:cs="Century Gothic" w:eastAsia="Century Gothic" w:hAnsi="Century Gothic"/>
      <w:sz w:val="20"/>
      <w:szCs w:val="20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pYH2rEGfcEibFQgoquPYWPDHZg==">CgMxLjA4AHIhMUx3bzg1OEtONHRxZ0ViNWVwSVFyUUhqWGxsazM0d0NX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