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CZĘŚĆ OPISOWA </w:t>
      </w:r>
    </w:p>
    <w:p w:rsidR="00000000" w:rsidDel="00000000" w:rsidP="00000000" w:rsidRDefault="00000000" w:rsidRPr="00000000" w14:paraId="0000000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 projektu technicznego zagospodarowania terenu </w:t>
      </w:r>
    </w:p>
    <w:p w:rsidR="00000000" w:rsidDel="00000000" w:rsidP="00000000" w:rsidRDefault="00000000" w:rsidRPr="00000000" w14:paraId="00000003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PRZEBUDOWA I ROZBUDOWA BUDYNKU WARSZTATOWEGO CENTRUM NAUK TECHNICZNYCH W CHOJNICACH WRAZ Z INFRASTRUKTURĄ TECHNICZNĄ I ZAGOSPODAROWANIEM TERENU</w:t>
      </w:r>
    </w:p>
    <w:p w:rsidR="00000000" w:rsidDel="00000000" w:rsidP="00000000" w:rsidRDefault="00000000" w:rsidRPr="00000000" w14:paraId="00000004">
      <w:pPr>
        <w:spacing w:after="0" w:before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 dz. nr 2212 w m. Chojnice w gm. m. Chojnice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Przedmiot zamierzenia budowlanego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Przedmiotem zamierzenia budowlanego jest: przebudowa i rozbudowa budynku warsztatowego Centrum Nauk Technicznych w Chojnicach wraz z infrastrukturą techniczną i zagospodarowaniem terenu  na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terenie działek o identyfikatorach:  220201_1.0001.4275/1, 220201_1.0001.4275/2 , 220201_1.0001.4277,  w m. Chojnice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Istniejący stan zagospodarowania terenu objętego zakresem opracowania wraz z informacją o obiektach przeznaczonych do rozbiórki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Położenie i powierzchnia terenu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spacing w:after="0" w:afterAutospacing="0" w:before="0" w:beforeAutospacing="0" w:line="240" w:lineRule="auto"/>
        <w:ind w:left="216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Działka będąca w zakresie opracowania należy do Powiatu Chojnickiego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pacing w:after="0" w:afterAutospacing="0" w:before="0" w:beforeAutospacing="0" w:line="240" w:lineRule="auto"/>
        <w:ind w:left="216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Teren objęty opracowaniem znajduje się na terenie Centrum Nauk Technicznych w Chojnicach mieszczącego się przy ul. Kościerskiej 11</w:t>
        <w:br w:type="textWrapping"/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Istniejący stan zagospodarowania </w:t>
        <w:br w:type="textWrapping"/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spacing w:after="0" w:afterAutospacing="0" w:before="0" w:beforeAutospacing="0" w:line="240" w:lineRule="auto"/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Istniejąca zabudowa: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 terenie CNT znajdują się: istniejące: budynek szkoły wraz z budynkiem sali gimnastycznej, budynek warsztatów, budynek spawalni z salami dydaktycznymi (przeznaczony do rozbudowy i przebudowy), 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pacing w:after="0" w:afterAutospacing="0" w:before="0" w:beforeAutospacing="0" w:line="240" w:lineRule="auto"/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Istniejąca zieleń: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zieleń w formie trawników , drzew i krzewów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pacing w:after="0" w:afterAutospacing="0" w:before="0" w:beforeAutospacing="0" w:line="240" w:lineRule="auto"/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Istniejące elementy małej architektury: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istniejące ogrodzenie, ławki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pacing w:after="0" w:afterAutospacing="0" w:before="0" w:beforeAutospacing="0"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Istniejące zagospodarowanie: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istniejące boisko wielofunkcyjne o nawierzchni poliuretanowej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pacing w:after="0" w:afterAutospacing="0" w:before="0" w:beforeAutospacing="0"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Istniejące miejsce gromadzenia odpadów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Istniejące miejsce do gromadzenia odpadów w formie placu w sąsiedztwie projektowanego budynku i budynku sali gimnastycznej - bez zmian  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spacing w:after="0" w:afterAutospacing="0" w:before="0" w:beforeAutospacing="0" w:line="240" w:lineRule="auto"/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Istniejące sieci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- sieć teletechniczna firmy Petrus</w:t>
        <w:br w:type="textWrapping"/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pacing w:after="240" w:before="0" w:beforeAutospacing="0" w:line="240" w:lineRule="auto"/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Istniejące urządzenia budowlanego związane z obiektami budowlanymi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istniejący plac utwardzony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istniejące ogrodzenie</w:t>
      </w:r>
    </w:p>
    <w:p w:rsidR="00000000" w:rsidDel="00000000" w:rsidP="00000000" w:rsidRDefault="00000000" w:rsidRPr="00000000" w14:paraId="00000012">
      <w:pPr>
        <w:spacing w:after="0" w:before="0" w:line="240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Istniejące przyłącza</w:t>
        <w:br w:type="textWrapping"/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istniejące przyłącze wody</w:t>
        <w:br w:type="textWrapping"/>
        <w:t xml:space="preserve">- istniejące przyłącza kanalizacji sanitarnej</w:t>
        <w:br w:type="textWrapping"/>
        <w:t xml:space="preserve">- istniejące przyłącze elektroenergetyczne</w:t>
        <w:br w:type="textWrapping"/>
        <w:t xml:space="preserve">- istniejące przyłącze teletechniczne   </w:t>
      </w:r>
    </w:p>
    <w:p w:rsidR="00000000" w:rsidDel="00000000" w:rsidP="00000000" w:rsidRDefault="00000000" w:rsidRPr="00000000" w14:paraId="00000013">
      <w:pPr>
        <w:spacing w:after="0" w:before="0" w:line="240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-istniejące przyłącza kanalizacji deszczowej </w:t>
      </w:r>
    </w:p>
    <w:p w:rsidR="00000000" w:rsidDel="00000000" w:rsidP="00000000" w:rsidRDefault="00000000" w:rsidRPr="00000000" w14:paraId="00000014">
      <w:pPr>
        <w:spacing w:after="0" w:before="0" w:line="240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-istniejące przyłącze ciepłownicze z węzłem cieplnym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pacing w:after="0" w:afterAutospacing="0" w:before="240" w:line="240" w:lineRule="auto"/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Zewnętrzne instalacje istniejące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istniejąca zewnętrzna instalacja kanalizacji deszczowej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Projektowane zagospodarowanie terenu. 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line="240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Projektowana zabudowa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obejmuje przebudowę istniejącego budynku z funkcją nauki spawania i zajęć elektrotechnicznych i dobudowa dwóch sal wykładowych .</w:t>
        <w:br w:type="textWrapping"/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Rozwiązanie funkcjonalno – przestrzenne.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Obszar szkoły jest  ze wszystkich stron zamknięty istniejącym  ogrodzeniem .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 terenie objętym opracowaniem znajduje się elementy przeznaczone do rozbiórki takie jak część budynku z pomieszczeniami sprężarkowni i magazynowym, w których projektuje się rozbudowę budynku, projektuje się  przebudowę części  istniejącego  budynku szkoły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oraz projektowane ciągi jezdne, piesze .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Opis prac budowlanych i elementy wyposażenia terenu </w:t>
        <w:br w:type="textWrapping"/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Rozbiórki: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before="0" w:line="240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-Rozbiórka przybudówki z powodu słabej jakości materiałów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przebudowa części placu z kostki betonowej zgodnie z rysunkiem Projektu Zagospodarowania Terenu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Wykonanie robót ziemnych, m.in.; niwelacja terenu, zdjęcie humusu, wykonanie podbudów nawierzchni,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Wykonanie zewnętrznych instalacji wg projektów technicznych poszczególnych instalacji.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Budowa ciągów pieszych zgodnie z rysunkiem Projektu Zagospodarowania Terenu:</w:t>
      </w:r>
    </w:p>
    <w:p w:rsidR="00000000" w:rsidDel="00000000" w:rsidP="00000000" w:rsidRDefault="00000000" w:rsidRPr="00000000" w14:paraId="0000001F">
      <w:pPr>
        <w:spacing w:after="0" w:before="0"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kostka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brukowa betonowa w kolorze szarym gr. 6 cm</w:t>
      </w:r>
    </w:p>
    <w:p w:rsidR="00000000" w:rsidDel="00000000" w:rsidP="00000000" w:rsidRDefault="00000000" w:rsidRPr="00000000" w14:paraId="00000020">
      <w:pPr>
        <w:spacing w:after="0" w:before="0" w:line="240" w:lineRule="auto"/>
        <w:ind w:left="1417.3228346456694" w:firstLine="0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podsypka cem.-piaskowa 1:4 5 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podsypka z pospółki zagęszczona gr. 10 cm</w:t>
      </w:r>
    </w:p>
    <w:p w:rsidR="00000000" w:rsidDel="00000000" w:rsidP="00000000" w:rsidRDefault="00000000" w:rsidRPr="00000000" w14:paraId="00000022">
      <w:pPr>
        <w:spacing w:after="0" w:before="0"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piasek zagęszczony 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=0,95 min 15cm</w:t>
      </w:r>
    </w:p>
    <w:p w:rsidR="00000000" w:rsidDel="00000000" w:rsidP="00000000" w:rsidRDefault="00000000" w:rsidRPr="00000000" w14:paraId="00000023">
      <w:pPr>
        <w:spacing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istniejący grunt.</w:t>
        <w:br w:type="textWrapping"/>
      </w:r>
    </w:p>
    <w:p w:rsidR="00000000" w:rsidDel="00000000" w:rsidP="00000000" w:rsidRDefault="00000000" w:rsidRPr="00000000" w14:paraId="00000024">
      <w:pPr>
        <w:spacing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Budowa ciągów pieszo- jezdnych projektowanych zgodnie z rysunkiem Projektu Zagospodarowania Terenu: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-kostka brukowa betonowa 8 cm w kolorze szarym</w:t>
      </w:r>
    </w:p>
    <w:p w:rsidR="00000000" w:rsidDel="00000000" w:rsidP="00000000" w:rsidRDefault="00000000" w:rsidRPr="00000000" w14:paraId="00000026">
      <w:pPr>
        <w:spacing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-podsypka cem-piaskowa 1:4 gr. 5 cm</w:t>
      </w:r>
    </w:p>
    <w:p w:rsidR="00000000" w:rsidDel="00000000" w:rsidP="00000000" w:rsidRDefault="00000000" w:rsidRPr="00000000" w14:paraId="00000027">
      <w:pPr>
        <w:spacing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-podsypka z kruszywa łamanego drogowego zagęszczonego gr. 23 cm</w:t>
      </w:r>
    </w:p>
    <w:p w:rsidR="00000000" w:rsidDel="00000000" w:rsidP="00000000" w:rsidRDefault="00000000" w:rsidRPr="00000000" w14:paraId="00000028">
      <w:pPr>
        <w:spacing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-piasek zagęszczony 15 cm</w:t>
      </w:r>
    </w:p>
    <w:p w:rsidR="00000000" w:rsidDel="00000000" w:rsidP="00000000" w:rsidRDefault="00000000" w:rsidRPr="00000000" w14:paraId="00000029">
      <w:pPr>
        <w:spacing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-istniejący grunt. </w:t>
      </w:r>
    </w:p>
    <w:p w:rsidR="00000000" w:rsidDel="00000000" w:rsidP="00000000" w:rsidRDefault="00000000" w:rsidRPr="00000000" w14:paraId="0000002A">
      <w:pPr>
        <w:spacing w:line="240" w:lineRule="auto"/>
        <w:ind w:left="1417.32283464566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 terenie działki znajduje się plac utwardzony z istniejącym  zjazdem z ulicy podawany przebudowie w sąsiedztwie przebudowywanego i rozbudowywanego budynku .</w:t>
        <w:br w:type="textWrapping"/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Projektowane instalacje:</w:t>
      </w:r>
    </w:p>
    <w:p w:rsidR="00000000" w:rsidDel="00000000" w:rsidP="00000000" w:rsidRDefault="00000000" w:rsidRPr="00000000" w14:paraId="0000002C">
      <w:pPr>
        <w:spacing w:line="24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-zewnętrzna  instalacja kanalizacji deszczowej z dwoma zbiornikami do retencji wód deszczowych podłączonej do istniejącej instalacji deszczowej na terenie szkoły i podłączenie</w:t>
      </w:r>
    </w:p>
    <w:p w:rsidR="00000000" w:rsidDel="00000000" w:rsidP="00000000" w:rsidRDefault="00000000" w:rsidRPr="00000000" w14:paraId="0000002D">
      <w:pPr>
        <w:spacing w:line="24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-zewnętrzna instalacja kanalizacji sanitarnej podłączonej do istniejącej instalacji kanalizacji sanitarnej usytuowanej na terenie szkoły</w:t>
      </w:r>
    </w:p>
    <w:p w:rsidR="00000000" w:rsidDel="00000000" w:rsidP="00000000" w:rsidRDefault="00000000" w:rsidRPr="00000000" w14:paraId="0000002E">
      <w:pPr>
        <w:spacing w:line="24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zewnętrzna instalacja ciepłownicza podłączona do instalacji ciepłowniczej w sąsiednim budynku warsztatowym </w:t>
      </w:r>
    </w:p>
    <w:p w:rsidR="00000000" w:rsidDel="00000000" w:rsidP="00000000" w:rsidRDefault="00000000" w:rsidRPr="00000000" w14:paraId="0000002F">
      <w:pPr>
        <w:spacing w:line="24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zewnętrzna instalacja wody   podłączona do studni wodomierzowej usytuowanej na terenie szkoły</w:t>
      </w:r>
    </w:p>
    <w:p w:rsidR="00000000" w:rsidDel="00000000" w:rsidP="00000000" w:rsidRDefault="00000000" w:rsidRPr="00000000" w14:paraId="00000030">
      <w:pPr>
        <w:spacing w:line="24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należy wykonać przebudowę kanalizacji teletechnicznej firmy PETRUS</w:t>
      </w:r>
    </w:p>
    <w:p w:rsidR="00000000" w:rsidDel="00000000" w:rsidP="00000000" w:rsidRDefault="00000000" w:rsidRPr="00000000" w14:paraId="00000031">
      <w:pPr>
        <w:spacing w:line="24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usytuowanej w miejscu rozbudowy w celu likwidacji kolizji według opracowania własnego firmy PETRUS  </w:t>
      </w:r>
    </w:p>
    <w:p w:rsidR="00000000" w:rsidDel="00000000" w:rsidP="00000000" w:rsidRDefault="00000000" w:rsidRPr="00000000" w14:paraId="00000032">
      <w:pPr>
        <w:spacing w:line="24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Gospodarka odpadami </w:t>
      </w:r>
    </w:p>
    <w:p w:rsidR="00000000" w:rsidDel="00000000" w:rsidP="00000000" w:rsidRDefault="00000000" w:rsidRPr="00000000" w14:paraId="00000034">
      <w:pPr>
        <w:spacing w:after="0" w:before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Wykonawca robót będący wytwórcą odpadów zobowiązany jest wszelkie zanieczyszczenia (np. ziemia z wykopów, kruszywo, mieszanka betonowa, opakowania materiałów itp.) lub uszkodzenia dróg publicznych i dojazdów do terenu budowy usuwać na bieżąco i na własny koszt. Wszystkie materiały z robót rozbiórkowych oraz odpady powstałe w czasie robót przygotowawczych i budowlanych zostaną zagospodarowane zgodnie z wymogami ochrony środowiska w sposób następujący:  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humus zebrany w trakcie robót ziemnych będzie zabezpieczony i ponownie użyty w robotach rekultywacyjnych,  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grunty z wykopów zostaną wywiezione na odkład,  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odpady żelazne oraz metali kolorowych zostaną przekazane do odzysku, odpady plastikowe zostaną posegregowane i przekazane do odzysku, a nie dające się wykorzystać zostaną unieszkodliwione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Zabezpieczenia </w:t>
      </w:r>
    </w:p>
    <w:p w:rsidR="00000000" w:rsidDel="00000000" w:rsidP="00000000" w:rsidRDefault="00000000" w:rsidRPr="00000000" w14:paraId="0000003A">
      <w:pPr>
        <w:spacing w:after="0" w:before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Wykonawca zobowiązany jest do zabezpieczenia terenu w okresie trwania realizacji budowy aż do zakończenia i odbioru ostatecznego robót. </w:t>
        <w:br w:type="textWrapping"/>
        <w:t xml:space="preserve">Wykonawca ogrodzi lub wyraźnie oznaczy  teren budowy w sposób uzgodniony z Inwestorem. Wykonawca robót jest odpowiedzialny za jakość ich wykonania oraz zgodność z dokumentacją projektową, specyfikacjami.</w:t>
      </w:r>
    </w:p>
    <w:p w:rsidR="00000000" w:rsidDel="00000000" w:rsidP="00000000" w:rsidRDefault="00000000" w:rsidRPr="00000000" w14:paraId="0000003B">
      <w:pPr>
        <w:spacing w:after="0" w:before="0" w:line="240" w:lineRule="auto"/>
        <w:ind w:left="720" w:firstLine="0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</w:t>
        <w:tab/>
        <w:t xml:space="preserve">SPR. ARCHITEKTURY                       </w:t>
        <w:tab/>
        <w:tab/>
        <w:t xml:space="preserve">PROJ. ARCHITEKTURY                  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mgr inż. arch. Z. Kufel                             </w:t>
        <w:tab/>
        <w:tab/>
        <w:t xml:space="preserve">mgr inż. arch. A. Kufel-Szuca                             </w:t>
        <w:tab/>
        <w:t xml:space="preserve">              upr. w spec. architektonicznej                                </w:t>
        <w:tab/>
        <w:t xml:space="preserve">upr. w spec. architektonicznej</w:t>
      </w:r>
    </w:p>
    <w:p w:rsidR="00000000" w:rsidDel="00000000" w:rsidP="00000000" w:rsidRDefault="00000000" w:rsidRPr="00000000" w14:paraId="0000003C">
      <w:pPr>
        <w:spacing w:after="240" w:before="24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                       </w:t>
        <w:tab/>
        <w:tab/>
        <w:t xml:space="preserve">upr. nr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UAN-KZ-7210/379/88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                               </w:t>
        <w:tab/>
        <w:t xml:space="preserve">upr. nr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199/POOKK/V/2021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17.3228346456694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cs="Arial" w:eastAsia="Arial" w:hAnsi="Arial"/>
        <w:b w:val="1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ascii="Arial" w:cs="Arial" w:eastAsia="Arial" w:hAnsi="Arial"/>
        <w:b w:val="1"/>
        <w:color w:val="000000"/>
        <w:sz w:val="24"/>
        <w:szCs w:val="24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