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A755FF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A755FF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32216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5FBAB6E5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A755FF" w:rsidRDefault="006E19D9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52B1A70" w14:textId="77777777" w:rsidR="008B6C0E" w:rsidRPr="00B553DE" w:rsidRDefault="008B6C0E" w:rsidP="008B6C0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i/>
          <w:kern w:val="2"/>
          <w:sz w:val="24"/>
          <w:szCs w:val="24"/>
          <w:lang w:eastAsia="ar-SA"/>
        </w:rPr>
      </w:pPr>
      <w:r w:rsidRPr="00B553DE">
        <w:rPr>
          <w:rFonts w:ascii="Arial" w:hAnsi="Arial" w:cs="Arial"/>
          <w:b/>
          <w:kern w:val="2"/>
          <w:sz w:val="24"/>
          <w:szCs w:val="24"/>
          <w:lang w:eastAsia="ar-SA"/>
        </w:rPr>
        <w:t>„Sukcesywna dostawa oryginalnych materiałów eksploatacyjnych do drukarek i urządzeń biurowych dla ZWiK Spółka z o.o. w Szczecinie”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70F71952" w14:textId="35824BC1" w:rsidR="005D40BF" w:rsidRDefault="005D40BF" w:rsidP="00AA6265">
      <w:pPr>
        <w:rPr>
          <w:rFonts w:ascii="Arial" w:eastAsia="Calibri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CPV </w:t>
      </w:r>
      <w:r w:rsidR="008B6C0E">
        <w:rPr>
          <w:rFonts w:ascii="Arial" w:hAnsi="Arial" w:cs="Arial"/>
          <w:sz w:val="24"/>
          <w:szCs w:val="24"/>
        </w:rPr>
        <w:t>30192113-6</w:t>
      </w:r>
      <w:r w:rsidRPr="00A755FF">
        <w:rPr>
          <w:rFonts w:ascii="Arial" w:eastAsia="Calibri" w:hAnsi="Arial" w:cs="Arial"/>
          <w:sz w:val="24"/>
          <w:szCs w:val="24"/>
        </w:rPr>
        <w:t xml:space="preserve">   </w:t>
      </w:r>
      <w:r w:rsidR="008B6C0E">
        <w:rPr>
          <w:rFonts w:ascii="Arial" w:eastAsia="Calibri" w:hAnsi="Arial" w:cs="Arial"/>
          <w:sz w:val="24"/>
          <w:szCs w:val="24"/>
        </w:rPr>
        <w:t>Wkłady drukujące</w:t>
      </w:r>
    </w:p>
    <w:p w14:paraId="2FDC67AE" w14:textId="1975ACEE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30192320-0    Taśmy drukujące</w:t>
      </w:r>
    </w:p>
    <w:p w14:paraId="7BFFA54E" w14:textId="29C752FE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30192340-6    Taśmy do faksów</w:t>
      </w:r>
    </w:p>
    <w:p w14:paraId="5283EA7B" w14:textId="009D17CB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30125110-5    Tonery do drukarek laserowych/faksów</w:t>
      </w:r>
    </w:p>
    <w:p w14:paraId="07CDE37E" w14:textId="76F3D9F5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30125120-8    Tonery do fotokopiarek</w:t>
      </w:r>
    </w:p>
    <w:p w14:paraId="1F78C394" w14:textId="680B88E2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30192112-9    Głowice barwiące do maszyn drukujących</w:t>
      </w:r>
    </w:p>
    <w:p w14:paraId="439FE471" w14:textId="3BA3DC11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30124300-7    Bębny do maszyn biurowych</w:t>
      </w:r>
    </w:p>
    <w:p w14:paraId="42AE8151" w14:textId="7370C2D0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30125100-2    Wkłady barwiące</w:t>
      </w:r>
    </w:p>
    <w:p w14:paraId="76C15F45" w14:textId="44CA6519" w:rsidR="008B6C0E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30124000-4    Części i akcesoria do maszyn biurowych</w:t>
      </w:r>
    </w:p>
    <w:p w14:paraId="4D72B659" w14:textId="0EC219CF" w:rsidR="008B6C0E" w:rsidRPr="00A755FF" w:rsidRDefault="008B6C0E" w:rsidP="00AA626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32582000-6    Nośniki danych</w:t>
      </w:r>
    </w:p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A755FF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A755FF" w:rsidRDefault="00295090" w:rsidP="00AA6265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6ED24EC5" w:rsidR="00AC790A" w:rsidRPr="00A755FF" w:rsidRDefault="00AC790A" w:rsidP="00AA6265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282A78" w:rsidRPr="00A755FF">
        <w:rPr>
          <w:rFonts w:ascii="Arial" w:hAnsi="Arial" w:cs="Arial"/>
        </w:rPr>
        <w:t>3</w:t>
      </w:r>
      <w:r w:rsidRPr="00A755FF">
        <w:rPr>
          <w:rFonts w:ascii="Arial" w:hAnsi="Arial" w:cs="Arial"/>
        </w:rPr>
        <w:t xml:space="preserve"> r. poz. 1</w:t>
      </w:r>
      <w:r w:rsidR="00282A78" w:rsidRPr="00A755FF">
        <w:rPr>
          <w:rFonts w:ascii="Arial" w:hAnsi="Arial" w:cs="Arial"/>
        </w:rPr>
        <w:t>605</w:t>
      </w:r>
      <w:r w:rsidRPr="00A755FF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77777777" w:rsidR="007C0EA7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764DD8F" w14:textId="33A9CEF0" w:rsidR="008B6C0E" w:rsidRPr="00A755FF" w:rsidRDefault="008B6C0E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1-1         kalkulacja ceny</w:t>
      </w:r>
    </w:p>
    <w:p w14:paraId="4A2FC7A4" w14:textId="34B01A8D" w:rsidR="007C0EA7" w:rsidRPr="00A755FF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E9BD9F8" w14:textId="5E753A35" w:rsidR="00282A78" w:rsidRDefault="00842059" w:rsidP="00AA6265">
      <w:pPr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="002D31CA" w:rsidRPr="00A755FF">
        <w:rPr>
          <w:rFonts w:ascii="Arial" w:hAnsi="Arial" w:cs="Arial"/>
          <w:bCs/>
          <w:sz w:val="24"/>
          <w:szCs w:val="24"/>
        </w:rPr>
        <w:tab/>
      </w:r>
      <w:r w:rsidR="002D31CA" w:rsidRPr="00A755FF">
        <w:rPr>
          <w:rFonts w:ascii="Arial" w:hAnsi="Arial" w:cs="Arial"/>
          <w:bCs/>
          <w:sz w:val="24"/>
          <w:szCs w:val="24"/>
        </w:rPr>
        <w:tab/>
        <w:t>wzór umowy</w:t>
      </w:r>
    </w:p>
    <w:p w14:paraId="1474931A" w14:textId="415EFC59" w:rsidR="008B6C0E" w:rsidRPr="00A755FF" w:rsidRDefault="008B6C0E" w:rsidP="00AA6265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ZAŁĄCZNIK NR  4             opis przedmiotu zamówienia</w:t>
      </w: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Pr="00A755FF" w:rsidRDefault="00744184" w:rsidP="00AA6265">
      <w:pPr>
        <w:rPr>
          <w:rFonts w:ascii="Arial" w:hAnsi="Arial" w:cs="Arial"/>
          <w:bCs/>
          <w:sz w:val="24"/>
          <w:szCs w:val="24"/>
        </w:rPr>
      </w:pPr>
    </w:p>
    <w:p w14:paraId="4BE9A4A7" w14:textId="77777777" w:rsidR="00842059" w:rsidRDefault="00842059" w:rsidP="00AA6265">
      <w:pPr>
        <w:rPr>
          <w:rFonts w:ascii="Arial" w:hAnsi="Arial" w:cs="Arial"/>
          <w:bCs/>
          <w:sz w:val="24"/>
          <w:szCs w:val="24"/>
        </w:rPr>
      </w:pPr>
    </w:p>
    <w:p w14:paraId="41723AA2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56402534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75E01940" w14:textId="77777777" w:rsidR="00B049FA" w:rsidRPr="00A755FF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4481E016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>ogól</w:t>
      </w:r>
      <w:r w:rsidR="00DA029D">
        <w:rPr>
          <w:rFonts w:ascii="Arial" w:hAnsi="Arial" w:cs="Arial"/>
          <w:sz w:val="24"/>
          <w:szCs w:val="24"/>
        </w:rPr>
        <w:t>n</w:t>
      </w:r>
      <w:r w:rsidR="00700F9E" w:rsidRPr="00A755FF">
        <w:rPr>
          <w:rFonts w:ascii="Arial" w:hAnsi="Arial" w:cs="Arial"/>
          <w:sz w:val="24"/>
          <w:szCs w:val="24"/>
        </w:rPr>
        <w:t xml:space="preserve">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A755FF">
        <w:rPr>
          <w:rFonts w:ascii="Arial" w:hAnsi="Arial" w:cs="Arial"/>
          <w:sz w:val="24"/>
          <w:szCs w:val="24"/>
        </w:rPr>
        <w:t>Golisza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3F60C2D" w:rsidR="007B5583" w:rsidRPr="00A755FF" w:rsidRDefault="00912AA9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Traktatu.</w:t>
      </w:r>
    </w:p>
    <w:p w14:paraId="1BB69489" w14:textId="77777777" w:rsidR="00F63720" w:rsidRPr="00A755FF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3D62EF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zaprosi do negocjacji </w:t>
      </w:r>
      <w:r w:rsidRPr="00A755FF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A755FF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A755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A755FF">
        <w:rPr>
          <w:rFonts w:ascii="Arial" w:hAnsi="Arial" w:cs="Arial"/>
          <w:sz w:val="24"/>
          <w:szCs w:val="24"/>
        </w:rPr>
        <w:t xml:space="preserve">będą </w:t>
      </w:r>
      <w:r w:rsidRPr="00A755FF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A755FF" w:rsidRDefault="003D62E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dopuszcza składania ofert częściowych. Oferta musi</w:t>
      </w:r>
      <w:r w:rsidR="00222E45" w:rsidRPr="00A755FF">
        <w:rPr>
          <w:rFonts w:ascii="Arial" w:hAnsi="Arial" w:cs="Arial"/>
          <w:iCs/>
          <w:sz w:val="24"/>
          <w:szCs w:val="24"/>
        </w:rPr>
        <w:t xml:space="preserve"> </w:t>
      </w:r>
      <w:r w:rsidRPr="00A755FF"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 xml:space="preserve">w formacie odpowiednio: </w:t>
      </w:r>
      <w:proofErr w:type="spellStart"/>
      <w:r w:rsidRPr="00A755FF">
        <w:rPr>
          <w:rFonts w:ascii="Arial" w:hAnsi="Arial" w:cs="Arial"/>
          <w:sz w:val="24"/>
          <w:szCs w:val="24"/>
        </w:rPr>
        <w:t>xml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A755FF">
        <w:rPr>
          <w:rFonts w:ascii="Arial" w:hAnsi="Arial" w:cs="Arial"/>
          <w:sz w:val="24"/>
          <w:szCs w:val="24"/>
        </w:rPr>
        <w:t>doc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5FF">
        <w:rPr>
          <w:rFonts w:ascii="Arial" w:hAnsi="Arial" w:cs="Arial"/>
          <w:sz w:val="24"/>
          <w:szCs w:val="24"/>
        </w:rPr>
        <w:t>docx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A755FF">
        <w:rPr>
          <w:rFonts w:ascii="Arial" w:hAnsi="Arial" w:cs="Arial"/>
          <w:sz w:val="24"/>
          <w:szCs w:val="24"/>
        </w:rPr>
        <w:t>xlsx</w:t>
      </w:r>
      <w:proofErr w:type="spellEnd"/>
      <w:r w:rsidRPr="00A755FF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A755FF">
        <w:rPr>
          <w:rFonts w:ascii="Arial" w:hAnsi="Arial" w:cs="Arial"/>
          <w:sz w:val="24"/>
          <w:szCs w:val="24"/>
        </w:rPr>
        <w:t>Firefox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711AF30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552161" w:rsidRPr="00A755FF">
        <w:rPr>
          <w:rFonts w:ascii="Arial" w:hAnsi="Arial" w:cs="Arial"/>
          <w:sz w:val="24"/>
          <w:szCs w:val="24"/>
        </w:rPr>
        <w:t xml:space="preserve">Kinga Malewicz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15 670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Wszelką korespondencję w postępowaniu zamawiający kieruje do pełnomocnika.</w:t>
      </w:r>
    </w:p>
    <w:p w14:paraId="32CFFEA4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wykonawców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B568EE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wykonawcami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administratorem danych osobowych jest: Zakład Wodociągów i Kanalizacji Sp. z o. o. w Szczecinie, ul. M. </w:t>
      </w:r>
      <w:proofErr w:type="spellStart"/>
      <w:r w:rsidRPr="00A755FF">
        <w:rPr>
          <w:rFonts w:ascii="Arial" w:hAnsi="Arial" w:cs="Arial"/>
        </w:rPr>
        <w:t>Golisza</w:t>
      </w:r>
      <w:proofErr w:type="spellEnd"/>
      <w:r w:rsidRPr="00A755FF">
        <w:rPr>
          <w:rFonts w:ascii="Arial" w:hAnsi="Arial" w:cs="Arial"/>
        </w:rPr>
        <w:t xml:space="preserve">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4F2A908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A755FF" w:rsidRDefault="00490BE7" w:rsidP="00AA62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 w:rsidRPr="00A755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78D47A0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A62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AA62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AA6265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2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613ECC6D" w14:textId="77777777" w:rsidR="00C605D4" w:rsidRPr="00A755FF" w:rsidRDefault="00C605D4" w:rsidP="00AA626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35DEB633" w:rsidR="00C605D4" w:rsidRDefault="009B45E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Jeżeli W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</w:t>
      </w:r>
      <w:r w:rsidR="00C605D4"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6506ED65" w14:textId="77777777" w:rsidR="00E77565" w:rsidRPr="00A755FF" w:rsidRDefault="00E7756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A755FF" w:rsidRDefault="0060016F" w:rsidP="00AA6265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550C2315" w:rsidR="00064A72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Pr="00A755FF">
        <w:rPr>
          <w:rFonts w:ascii="Arial" w:hAnsi="Arial" w:cs="Arial"/>
          <w:sz w:val="24"/>
          <w:szCs w:val="24"/>
        </w:rPr>
        <w:t xml:space="preserve">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1 </w:t>
      </w:r>
      <w:r w:rsidRPr="00A755FF">
        <w:rPr>
          <w:rFonts w:ascii="Arial" w:hAnsi="Arial" w:cs="Arial"/>
          <w:b/>
          <w:bCs/>
          <w:sz w:val="24"/>
          <w:szCs w:val="24"/>
        </w:rPr>
        <w:t>do SWZ</w:t>
      </w:r>
      <w:r w:rsidR="00194DC5">
        <w:rPr>
          <w:rFonts w:ascii="Arial" w:hAnsi="Arial" w:cs="Arial"/>
          <w:b/>
          <w:bCs/>
          <w:sz w:val="24"/>
          <w:szCs w:val="24"/>
        </w:rPr>
        <w:t xml:space="preserve"> wraz z kalkulacją ceny (załącznik nr 1-1)</w:t>
      </w:r>
      <w:r w:rsidR="00064A72" w:rsidRPr="00A755FF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6A7C5135" w:rsidR="0060016F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3"/>
      <w:r w:rsidRPr="00A755FF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2D46692" w14:textId="77777777" w:rsidR="00151806" w:rsidRPr="00A755FF" w:rsidRDefault="00151806" w:rsidP="00AA626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755FF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3B1E7B9" w14:textId="0D85CCF3" w:rsidR="00984CE7" w:rsidRPr="00A755FF" w:rsidRDefault="00984CE7" w:rsidP="00AA6265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2433E440" w14:textId="77777777" w:rsidR="00275F1A" w:rsidRDefault="00275F1A" w:rsidP="00275F1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Termin wykonania zamówienia: </w:t>
      </w:r>
      <w:r>
        <w:rPr>
          <w:rFonts w:ascii="Arial" w:hAnsi="Arial" w:cs="Arial"/>
          <w:b/>
          <w:sz w:val="24"/>
          <w:szCs w:val="24"/>
        </w:rPr>
        <w:t>sukcesywnie przez okres 12 miesięcy</w:t>
      </w:r>
      <w:r w:rsidRPr="00A755FF">
        <w:rPr>
          <w:rFonts w:ascii="Arial" w:hAnsi="Arial" w:cs="Arial"/>
          <w:b/>
          <w:sz w:val="24"/>
          <w:szCs w:val="24"/>
        </w:rPr>
        <w:t>, licząc od dnia zawarcia umowy</w:t>
      </w:r>
      <w:r>
        <w:rPr>
          <w:rFonts w:ascii="Arial" w:hAnsi="Arial" w:cs="Arial"/>
          <w:b/>
          <w:sz w:val="24"/>
          <w:szCs w:val="24"/>
        </w:rPr>
        <w:t xml:space="preserve"> + 3 miesiące (ewentualne przedłużenie na zasadach określonych w umowie)</w:t>
      </w:r>
      <w:r w:rsidRPr="00A755FF">
        <w:rPr>
          <w:rFonts w:ascii="Arial" w:hAnsi="Arial" w:cs="Arial"/>
          <w:b/>
          <w:sz w:val="24"/>
          <w:szCs w:val="24"/>
        </w:rPr>
        <w:t>.</w:t>
      </w:r>
    </w:p>
    <w:p w14:paraId="546DB265" w14:textId="12E975BE" w:rsidR="00275F1A" w:rsidRPr="00275F1A" w:rsidRDefault="00275F1A" w:rsidP="00275F1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75F1A">
        <w:rPr>
          <w:rFonts w:ascii="Arial" w:hAnsi="Arial" w:cs="Arial"/>
          <w:sz w:val="24"/>
          <w:szCs w:val="24"/>
        </w:rPr>
        <w:lastRenderedPageBreak/>
        <w:t>Zamawiający wymaga, aby dostarczane</w:t>
      </w:r>
      <w:r w:rsidRPr="00275F1A">
        <w:rPr>
          <w:rFonts w:ascii="Arial" w:hAnsi="Arial" w:cs="Arial"/>
          <w:b/>
          <w:sz w:val="24"/>
          <w:szCs w:val="24"/>
        </w:rPr>
        <w:t xml:space="preserve"> </w:t>
      </w:r>
      <w:r w:rsidRPr="00275F1A">
        <w:rPr>
          <w:rFonts w:ascii="Arial" w:hAnsi="Arial" w:cs="Arial"/>
          <w:sz w:val="24"/>
          <w:szCs w:val="24"/>
        </w:rPr>
        <w:t>materiały eksploatacyjne do drukarek w postaci tuszy, głowic będą posiadały datę końca gwarancji nie krótszą niż 6 miesięcy licząc od daty dostarczenia materiałów eksploatacyjnych do drukarek (</w:t>
      </w:r>
      <w:r>
        <w:rPr>
          <w:rFonts w:ascii="Arial" w:hAnsi="Arial" w:cs="Arial"/>
          <w:sz w:val="24"/>
          <w:szCs w:val="24"/>
        </w:rPr>
        <w:t>tuszy, głowic) do zamawiającego.</w:t>
      </w:r>
    </w:p>
    <w:p w14:paraId="6F431CA2" w14:textId="0C347B5F" w:rsidR="00B049FA" w:rsidRPr="00275F1A" w:rsidRDefault="00B049FA" w:rsidP="00275F1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A755F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755FF">
        <w:rPr>
          <w:rFonts w:ascii="Arial" w:hAnsi="Arial" w:cs="Arial"/>
          <w:b/>
          <w:sz w:val="24"/>
          <w:szCs w:val="24"/>
        </w:rPr>
        <w:t>2</w:t>
      </w:r>
      <w:r w:rsidRPr="00A755F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755F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A755FF">
        <w:rPr>
          <w:rFonts w:ascii="Arial" w:hAnsi="Arial" w:cs="Arial"/>
          <w:b/>
          <w:bCs/>
          <w:sz w:val="24"/>
          <w:szCs w:val="24"/>
        </w:rPr>
        <w:t>5</w:t>
      </w:r>
      <w:r w:rsidRPr="00A755F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4CC077E2" w:rsidR="0068531B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Cena oferty </w:t>
      </w:r>
      <w:r w:rsidR="006F7446" w:rsidRPr="00A755FF">
        <w:rPr>
          <w:rFonts w:ascii="Arial" w:hAnsi="Arial" w:cs="Arial"/>
          <w:sz w:val="24"/>
          <w:szCs w:val="24"/>
        </w:rPr>
        <w:t xml:space="preserve">ma być podana jako cena netto, </w:t>
      </w:r>
      <w:r w:rsidRPr="00A755FF">
        <w:rPr>
          <w:rFonts w:ascii="Arial" w:hAnsi="Arial" w:cs="Arial"/>
          <w:sz w:val="24"/>
          <w:szCs w:val="24"/>
        </w:rPr>
        <w:t>musi zawiera</w:t>
      </w:r>
      <w:r w:rsidR="002A1856" w:rsidRPr="00A755FF">
        <w:rPr>
          <w:rFonts w:ascii="Arial" w:hAnsi="Arial" w:cs="Arial"/>
          <w:sz w:val="24"/>
          <w:szCs w:val="24"/>
        </w:rPr>
        <w:t>ć wszystkie elementy zgodnie z o</w:t>
      </w:r>
      <w:r w:rsidRPr="00A755FF">
        <w:rPr>
          <w:rFonts w:ascii="Arial" w:hAnsi="Arial" w:cs="Arial"/>
          <w:sz w:val="24"/>
          <w:szCs w:val="24"/>
        </w:rPr>
        <w:t>pisem przedmiotu zamówienia.</w:t>
      </w:r>
      <w:r w:rsidR="006F7446" w:rsidRPr="00A755FF">
        <w:rPr>
          <w:rFonts w:ascii="Arial" w:hAnsi="Arial" w:cs="Arial"/>
          <w:sz w:val="24"/>
          <w:szCs w:val="24"/>
        </w:rPr>
        <w:t xml:space="preserve"> Ceny poszczególnych asortymentów wskazane w kalkulacji są wiążące dla Wykonawcy w ramach realizacji umowy i przyszłych rozliczeń.</w:t>
      </w:r>
    </w:p>
    <w:p w14:paraId="79E1B887" w14:textId="77777777" w:rsidR="00EC392D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Obliczona przez Wykonawcę cena oferty musi zawierać wszystkie koszty niezbędne do prawidłowego i terminowego w</w:t>
      </w:r>
      <w:r w:rsidR="00EC392D" w:rsidRPr="00A755F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A755FF" w:rsidRDefault="0008315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za dostarczony towar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transportu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załadunku i rozładunku,</w:t>
      </w:r>
    </w:p>
    <w:p w14:paraId="251E52E5" w14:textId="1A6C16A8" w:rsidR="000D0870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dodatkowe.</w:t>
      </w:r>
    </w:p>
    <w:p w14:paraId="59A7A7EF" w14:textId="77777777" w:rsidR="00E21F26" w:rsidRDefault="00E21F26" w:rsidP="00E21F26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 a wykonawcą prowadzone będą w złotych polskich.</w:t>
      </w:r>
    </w:p>
    <w:p w14:paraId="08A208C6" w14:textId="0FE26E65" w:rsidR="00E21F26" w:rsidRPr="00E21F26" w:rsidRDefault="00E21F26" w:rsidP="00E21F26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</w:rPr>
        <w:lastRenderedPageBreak/>
        <w:t>Cena netto oferty ma być podana w polskich złotych, liczbowo i słownie oraz obejmować wszelkie koszty związane z realizacją zamówienia. Koszty, których wykonawca nie ujął w ofercie, nie zostaną odrębnie opłacone przez zamawiającego i uważać się będzie, że zostały ujęte w ofercie cenowej przedmiotu zamówienia. Cena netto oferty winna być wyliczona z dokładnością do 2 miejsc po przecinku. W związku z powyższym wykonawca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0B562DA9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322163">
        <w:rPr>
          <w:rFonts w:ascii="Arial" w:hAnsi="Arial" w:cs="Arial"/>
          <w:b/>
          <w:color w:val="auto"/>
        </w:rPr>
        <w:t>20</w:t>
      </w:r>
      <w:r w:rsidR="00E12D50">
        <w:rPr>
          <w:rFonts w:ascii="Arial" w:hAnsi="Arial" w:cs="Arial"/>
          <w:b/>
          <w:color w:val="auto"/>
        </w:rPr>
        <w:t>.</w:t>
      </w:r>
      <w:r w:rsidR="00275F1A">
        <w:rPr>
          <w:rFonts w:ascii="Arial" w:hAnsi="Arial" w:cs="Arial"/>
          <w:b/>
          <w:color w:val="auto"/>
        </w:rPr>
        <w:t>05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366E580E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  <w:color w:val="auto"/>
        </w:rPr>
        <w:t xml:space="preserve">Otwarcie ofert odbędzie się </w:t>
      </w:r>
      <w:r w:rsidRPr="00A755FF">
        <w:rPr>
          <w:rFonts w:ascii="Arial" w:hAnsi="Arial" w:cs="Arial"/>
          <w:b/>
          <w:color w:val="auto"/>
        </w:rPr>
        <w:t>w dniu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322163">
        <w:rPr>
          <w:rFonts w:ascii="Arial" w:hAnsi="Arial" w:cs="Arial"/>
          <w:b/>
          <w:color w:val="auto"/>
        </w:rPr>
        <w:t>20</w:t>
      </w:r>
      <w:bookmarkStart w:id="5" w:name="_GoBack"/>
      <w:bookmarkEnd w:id="5"/>
      <w:r w:rsidR="00E12D50">
        <w:rPr>
          <w:rFonts w:ascii="Arial" w:hAnsi="Arial" w:cs="Arial"/>
          <w:b/>
          <w:color w:val="auto"/>
        </w:rPr>
        <w:t>.</w:t>
      </w:r>
      <w:r w:rsidR="002F5C09">
        <w:rPr>
          <w:rFonts w:ascii="Arial" w:hAnsi="Arial" w:cs="Arial"/>
          <w:b/>
          <w:color w:val="auto"/>
        </w:rPr>
        <w:t>05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</w:t>
      </w:r>
      <w:r w:rsidR="005A7C55" w:rsidRPr="00A755FF">
        <w:rPr>
          <w:rFonts w:ascii="Arial" w:hAnsi="Arial" w:cs="Arial"/>
          <w:b/>
          <w:color w:val="auto"/>
        </w:rPr>
        <w:t xml:space="preserve"> </w:t>
      </w:r>
      <w:r w:rsidRPr="00A755FF">
        <w:rPr>
          <w:rFonts w:ascii="Arial" w:hAnsi="Arial" w:cs="Arial"/>
          <w:b/>
          <w:color w:val="auto"/>
        </w:rPr>
        <w:t xml:space="preserve">o godz. </w:t>
      </w:r>
      <w:r w:rsidR="002F3058" w:rsidRPr="00A755FF">
        <w:rPr>
          <w:rFonts w:ascii="Arial" w:hAnsi="Arial" w:cs="Arial"/>
          <w:b/>
          <w:color w:val="auto"/>
        </w:rPr>
        <w:t>12:00</w:t>
      </w:r>
      <w:r w:rsidR="002C349B" w:rsidRPr="00A755F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A755FF" w:rsidRDefault="00783614" w:rsidP="00AA6265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5F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A755F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Ponieważ otwarcie ofert nastąpi przy użyciu systemu teleinformatycznego, </w:t>
      </w:r>
      <w:r w:rsidR="002F3058" w:rsidRPr="00A755FF">
        <w:rPr>
          <w:rFonts w:ascii="Arial" w:hAnsi="Arial" w:cs="Arial"/>
        </w:rPr>
        <w:br/>
      </w:r>
      <w:r w:rsidRPr="00A755F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W sytuacji, o której mowa w pkt </w:t>
      </w:r>
      <w:r w:rsidR="00A23EDC" w:rsidRPr="00A755FF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zamawiający zamieści na </w:t>
      </w:r>
      <w:r w:rsidR="003E7CAF" w:rsidRPr="00A755FF">
        <w:rPr>
          <w:rFonts w:ascii="Arial" w:hAnsi="Arial" w:cs="Arial"/>
        </w:rPr>
        <w:t>Platformie</w:t>
      </w:r>
      <w:r w:rsidR="00A455E7" w:rsidRPr="00A755FF">
        <w:rPr>
          <w:rFonts w:ascii="Arial" w:hAnsi="Arial" w:cs="Arial"/>
        </w:rPr>
        <w:t xml:space="preserve"> </w:t>
      </w:r>
      <w:r w:rsidR="003E7CAF" w:rsidRPr="00A755FF">
        <w:rPr>
          <w:rFonts w:ascii="Arial" w:hAnsi="Arial" w:cs="Arial"/>
        </w:rPr>
        <w:t>/stronie internetowej prowadzonego postępowania</w:t>
      </w:r>
      <w:r w:rsidRPr="00A755FF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A755FF" w:rsidRDefault="0060016F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</w:t>
      </w:r>
      <w:r w:rsidR="007F10F7" w:rsidRPr="00A755FF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A755FF">
        <w:rPr>
          <w:rFonts w:ascii="Arial" w:hAnsi="Arial" w:cs="Arial"/>
          <w:sz w:val="24"/>
          <w:szCs w:val="24"/>
        </w:rPr>
        <w:t>Platformie</w:t>
      </w:r>
      <w:r w:rsidR="0055322A" w:rsidRPr="00A755FF">
        <w:rPr>
          <w:rFonts w:ascii="Arial" w:hAnsi="Arial" w:cs="Arial"/>
          <w:sz w:val="24"/>
          <w:szCs w:val="24"/>
        </w:rPr>
        <w:t xml:space="preserve"> </w:t>
      </w:r>
      <w:r w:rsidR="003E7CAF" w:rsidRPr="00A755FF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A755FF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A755FF" w:rsidRDefault="007F10F7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A755FF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A755FF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AA62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A755FF">
        <w:rPr>
          <w:rFonts w:ascii="Arial" w:hAnsi="Arial" w:cs="Arial"/>
          <w:sz w:val="24"/>
          <w:szCs w:val="24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3) inne omyłki polegające na niezgodności oferty z dokumentami zamówienia</w:t>
      </w:r>
      <w:r w:rsidR="008F4D0F" w:rsidRPr="00A755FF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AA626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A755FF">
        <w:rPr>
          <w:rFonts w:ascii="Arial" w:hAnsi="Arial" w:cs="Arial"/>
          <w:sz w:val="24"/>
          <w:szCs w:val="24"/>
          <w:lang w:eastAsia="zh-CN"/>
        </w:rPr>
        <w:br/>
      </w:r>
      <w:r w:rsidRPr="00A755F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A755FF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A755F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52A455DC" w:rsidR="00027F5F" w:rsidRPr="00194DC5" w:rsidRDefault="00696863" w:rsidP="00194DC5">
      <w:pPr>
        <w:pStyle w:val="Tekstpodstawowywcity21"/>
        <w:numPr>
          <w:ilvl w:val="0"/>
          <w:numId w:val="20"/>
        </w:numPr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A755FF" w:rsidRDefault="00027F5F" w:rsidP="00AA62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A755FF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A755FF" w:rsidRDefault="003D66EC" w:rsidP="00AA6265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A6265">
      <w:pPr>
        <w:pStyle w:val="Tekstpodstawowywcity21"/>
        <w:numPr>
          <w:ilvl w:val="0"/>
          <w:numId w:val="21"/>
        </w:numPr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AA6265">
      <w:pPr>
        <w:pStyle w:val="Tekstpodstawowywcity21"/>
        <w:ind w:left="360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A6265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A62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Ponadto, Zamawiający zastrzega sobie możliwość unieważnienia postępowania bez podawania przyczyny.</w:t>
      </w:r>
    </w:p>
    <w:p w14:paraId="5D94AC5D" w14:textId="77777777" w:rsidR="001B42AD" w:rsidRPr="00A755FF" w:rsidRDefault="001B42AD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671F33C0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A755FF">
        <w:rPr>
          <w:rFonts w:ascii="Arial" w:hAnsi="Arial" w:cs="Arial"/>
          <w:bCs w:val="0"/>
          <w:sz w:val="24"/>
          <w:szCs w:val="24"/>
        </w:rPr>
        <w:t>3</w:t>
      </w:r>
      <w:r w:rsidR="00BE7CCD" w:rsidRPr="00A755F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A755FF" w:rsidRDefault="00385822" w:rsidP="0079742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Przedmiot zamówienia</w:t>
      </w:r>
      <w:r w:rsidRPr="00A755FF">
        <w:rPr>
          <w:rFonts w:ascii="Arial" w:hAnsi="Arial" w:cs="Arial"/>
          <w:sz w:val="24"/>
          <w:szCs w:val="24"/>
        </w:rPr>
        <w:t xml:space="preserve">: </w:t>
      </w:r>
    </w:p>
    <w:p w14:paraId="48C4672B" w14:textId="143F1201" w:rsidR="00194DC5" w:rsidRPr="007E58FC" w:rsidRDefault="00194DC5" w:rsidP="007E58FC">
      <w:pPr>
        <w:pStyle w:val="Akapitzlist"/>
        <w:widowControl w:val="0"/>
        <w:spacing w:before="60"/>
        <w:ind w:left="360"/>
        <w:jc w:val="both"/>
        <w:rPr>
          <w:rFonts w:ascii="Arial" w:hAnsi="Arial" w:cs="Arial"/>
          <w:sz w:val="24"/>
          <w:szCs w:val="24"/>
        </w:rPr>
      </w:pPr>
      <w:r w:rsidRPr="00194DC5">
        <w:rPr>
          <w:rFonts w:ascii="Arial" w:hAnsi="Arial" w:cs="Arial"/>
          <w:sz w:val="24"/>
          <w:szCs w:val="24"/>
        </w:rPr>
        <w:t xml:space="preserve">Przedmiotem zamówienia jest sukcesywna dostawa oryginalnych materiałów eksploatacyjnych do drukarek i urządzeń biurowych dla </w:t>
      </w:r>
      <w:r w:rsidR="007E58FC">
        <w:rPr>
          <w:rFonts w:ascii="Arial" w:hAnsi="Arial" w:cs="Arial"/>
          <w:sz w:val="24"/>
          <w:szCs w:val="24"/>
        </w:rPr>
        <w:t xml:space="preserve">ZWiK Spółka z o.o. w Szczecinie </w:t>
      </w:r>
      <w:r w:rsidRPr="007E58FC">
        <w:rPr>
          <w:rFonts w:ascii="Arial" w:hAnsi="Arial" w:cs="Arial"/>
          <w:sz w:val="24"/>
          <w:szCs w:val="24"/>
        </w:rPr>
        <w:t>w postaci: oryginalnych tuszy, oryginalnych tonerów, oryginalnych kaset z taśmami barwiącymi, oryginalnych bębnów i głowic. Szczegółowy zakres zamówienia wraz z ilościami został wyszczególniony w załączniku nr 1-1 – kalkulacja ceny.</w:t>
      </w:r>
    </w:p>
    <w:p w14:paraId="360908AD" w14:textId="77777777" w:rsidR="00C4581E" w:rsidRPr="00A755FF" w:rsidRDefault="00C4581E" w:rsidP="0079742F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4006E15B" w14:textId="1D5E36DE" w:rsidR="00C4581E" w:rsidRPr="00A755FF" w:rsidRDefault="00C4581E" w:rsidP="0079742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Opis zakresu zamówienia:</w:t>
      </w:r>
    </w:p>
    <w:p w14:paraId="630E5400" w14:textId="5D1B353C" w:rsidR="00194DC5" w:rsidRPr="00C9385E" w:rsidRDefault="00194DC5" w:rsidP="00194DC5">
      <w:pPr>
        <w:pStyle w:val="Akapitzlist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C9385E">
        <w:rPr>
          <w:rFonts w:ascii="Arial" w:hAnsi="Arial" w:cs="Arial"/>
          <w:bCs/>
          <w:sz w:val="24"/>
          <w:szCs w:val="24"/>
        </w:rPr>
        <w:t xml:space="preserve">pis przedmiotu zamówienia stanowi </w:t>
      </w:r>
      <w:r w:rsidRPr="00C9385E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9385E">
        <w:rPr>
          <w:rFonts w:ascii="Arial" w:hAnsi="Arial" w:cs="Arial"/>
          <w:b/>
          <w:bCs/>
          <w:sz w:val="24"/>
          <w:szCs w:val="24"/>
        </w:rPr>
        <w:t xml:space="preserve"> do SWZ.</w:t>
      </w:r>
    </w:p>
    <w:p w14:paraId="75DCAB6D" w14:textId="77777777" w:rsidR="0079742F" w:rsidRDefault="0079742F" w:rsidP="0079742F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F4D3A9" w14:textId="1026450A" w:rsidR="0079742F" w:rsidRPr="0079742F" w:rsidRDefault="0079742F" w:rsidP="0079742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9742F">
        <w:rPr>
          <w:rFonts w:ascii="Arial" w:hAnsi="Arial" w:cs="Arial"/>
          <w:b/>
          <w:sz w:val="24"/>
          <w:szCs w:val="24"/>
        </w:rPr>
        <w:t>Termin realizacji zamówienia:</w:t>
      </w:r>
    </w:p>
    <w:p w14:paraId="426BA0EA" w14:textId="2077B1E1" w:rsidR="00C4581E" w:rsidRDefault="00194DC5" w:rsidP="00194DC5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4AAE">
        <w:rPr>
          <w:rFonts w:ascii="Arial" w:hAnsi="Arial" w:cs="Arial"/>
          <w:sz w:val="24"/>
          <w:szCs w:val="24"/>
        </w:rPr>
        <w:t xml:space="preserve">Umowa z wybranym wykonawcą zostanie zawarta na okres </w:t>
      </w:r>
      <w:r w:rsidRPr="00B34AAE">
        <w:rPr>
          <w:rFonts w:ascii="Arial" w:hAnsi="Arial" w:cs="Arial"/>
          <w:b/>
          <w:sz w:val="24"/>
          <w:szCs w:val="24"/>
          <w:u w:val="single"/>
        </w:rPr>
        <w:t>12 miesięcy</w:t>
      </w:r>
      <w:r w:rsidRPr="00B34AAE">
        <w:rPr>
          <w:rFonts w:ascii="Arial" w:hAnsi="Arial" w:cs="Arial"/>
          <w:sz w:val="24"/>
          <w:szCs w:val="24"/>
        </w:rPr>
        <w:t xml:space="preserve"> licząc od dnia zawarcia umowy + 3 miesiące ewentualne przedłużenie na zasadach określonych w umowie.</w:t>
      </w:r>
    </w:p>
    <w:p w14:paraId="650EA6A5" w14:textId="77777777" w:rsidR="000B3891" w:rsidRPr="00D20244" w:rsidRDefault="000B3891" w:rsidP="00D20244">
      <w:pPr>
        <w:jc w:val="both"/>
        <w:rPr>
          <w:rFonts w:ascii="Arial" w:hAnsi="Arial" w:cs="Arial"/>
          <w:bCs/>
          <w:sz w:val="24"/>
          <w:szCs w:val="24"/>
        </w:rPr>
      </w:pPr>
    </w:p>
    <w:p w14:paraId="48E0F9FE" w14:textId="023CFF6F" w:rsidR="00385822" w:rsidRPr="00A755FF" w:rsidRDefault="00385822" w:rsidP="00AA626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64D776C2" w14:textId="77777777" w:rsidR="00C4581E" w:rsidRDefault="00385822" w:rsidP="0079742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7E1BFDF3" w14:textId="77777777" w:rsidR="000B3891" w:rsidRPr="000B3891" w:rsidRDefault="000B3891" w:rsidP="000B38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07767B9" w14:textId="38F3CB37" w:rsidR="00385822" w:rsidRPr="00A755FF" w:rsidRDefault="00385822" w:rsidP="00AA6265">
      <w:pPr>
        <w:pStyle w:val="Akapitzlist"/>
        <w:numPr>
          <w:ilvl w:val="0"/>
          <w:numId w:val="3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FD2D822" w14:textId="02F750F3" w:rsidR="00385822" w:rsidRPr="00A755FF" w:rsidRDefault="00385822" w:rsidP="00AA6265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A755FF">
        <w:rPr>
          <w:rFonts w:ascii="Arial" w:eastAsia="Times New Roman" w:hAnsi="Arial" w:cs="Arial"/>
          <w:sz w:val="24"/>
          <w:szCs w:val="24"/>
        </w:rPr>
        <w:t>Zamawiający nie zastrzega do osobistego wykonania przez w</w:t>
      </w:r>
      <w:r w:rsidR="00CD6377" w:rsidRPr="00A755FF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A26928" w14:textId="77777777" w:rsidR="007E58FC" w:rsidRDefault="007E58FC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A91799" w14:textId="77777777" w:rsidR="007E58FC" w:rsidRDefault="007E58FC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D619C2" w14:textId="77777777" w:rsidR="00194DC5" w:rsidRPr="00A755FF" w:rsidRDefault="00194DC5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lastRenderedPageBreak/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6E480B6" w14:textId="77777777" w:rsidR="008B6C0E" w:rsidRDefault="008B6C0E" w:rsidP="008B6C0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72AC14D" w14:textId="77777777" w:rsidR="008B6C0E" w:rsidRPr="00A755FF" w:rsidRDefault="008B6C0E" w:rsidP="008B6C0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1-1         kalkulacja ceny</w:t>
      </w:r>
    </w:p>
    <w:p w14:paraId="7E46721F" w14:textId="77777777" w:rsidR="008B6C0E" w:rsidRPr="00A755FF" w:rsidRDefault="008B6C0E" w:rsidP="008B6C0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F951694" w14:textId="77777777" w:rsidR="008B6C0E" w:rsidRDefault="008B6C0E" w:rsidP="008B6C0E">
      <w:pPr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umowy</w:t>
      </w:r>
    </w:p>
    <w:p w14:paraId="45902DC4" w14:textId="77777777" w:rsidR="008B6C0E" w:rsidRPr="00A755FF" w:rsidRDefault="008B6C0E" w:rsidP="008B6C0E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ZAŁĄCZNIK NR  4             opis przedmiotu zamówienia</w:t>
      </w:r>
    </w:p>
    <w:p w14:paraId="2B261815" w14:textId="77777777" w:rsidR="00ED6988" w:rsidRPr="00A755FF" w:rsidRDefault="00ED6988" w:rsidP="00AA6265">
      <w:pPr>
        <w:jc w:val="both"/>
        <w:rPr>
          <w:rFonts w:ascii="Arial" w:hAnsi="Arial" w:cs="Arial"/>
          <w:sz w:val="24"/>
          <w:szCs w:val="24"/>
        </w:rPr>
      </w:pPr>
    </w:p>
    <w:sectPr w:rsidR="00ED6988" w:rsidRPr="00A755FF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26FB" w14:textId="77777777" w:rsidR="005E3FE9" w:rsidRDefault="005E3FE9" w:rsidP="00EF0384">
      <w:r>
        <w:separator/>
      </w:r>
    </w:p>
  </w:endnote>
  <w:endnote w:type="continuationSeparator" w:id="0">
    <w:p w14:paraId="66B9A16C" w14:textId="77777777" w:rsidR="005E3FE9" w:rsidRDefault="005E3FE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322163">
          <w:rPr>
            <w:rFonts w:ascii="Arial" w:hAnsi="Arial" w:cs="Arial"/>
            <w:noProof/>
          </w:rPr>
          <w:t>16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A57D" w14:textId="77777777" w:rsidR="005E3FE9" w:rsidRDefault="005E3FE9" w:rsidP="00EF0384">
      <w:r>
        <w:separator/>
      </w:r>
    </w:p>
  </w:footnote>
  <w:footnote w:type="continuationSeparator" w:id="0">
    <w:p w14:paraId="19016399" w14:textId="77777777" w:rsidR="005E3FE9" w:rsidRDefault="005E3FE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102421ED" w:rsidR="005E3FE9" w:rsidRPr="00500684" w:rsidRDefault="005E3FE9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 xml:space="preserve">Nr sprawy </w:t>
    </w:r>
    <w:r w:rsidR="008B6C0E">
      <w:rPr>
        <w:rFonts w:ascii="Arial" w:hAnsi="Arial" w:cs="Arial"/>
        <w:b/>
      </w:rPr>
      <w:t>2</w:t>
    </w:r>
    <w:r w:rsidR="006D63E8">
      <w:rPr>
        <w:rFonts w:ascii="Arial" w:hAnsi="Arial" w:cs="Arial"/>
        <w:b/>
      </w:rPr>
      <w:t>8</w:t>
    </w:r>
    <w:r w:rsidR="005428FA">
      <w:rPr>
        <w:rFonts w:ascii="Arial" w:hAnsi="Arial" w:cs="Arial"/>
        <w:b/>
      </w:rPr>
      <w:t>/2024</w:t>
    </w:r>
  </w:p>
  <w:p w14:paraId="29121193" w14:textId="77777777" w:rsidR="005E3FE9" w:rsidRDefault="005E3F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44608C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A1235D"/>
    <w:multiLevelType w:val="hybridMultilevel"/>
    <w:tmpl w:val="CEAE6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7143E5"/>
    <w:multiLevelType w:val="hybridMultilevel"/>
    <w:tmpl w:val="AF8AE3D2"/>
    <w:lvl w:ilvl="0" w:tplc="98045C56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9A21CBC"/>
    <w:multiLevelType w:val="hybridMultilevel"/>
    <w:tmpl w:val="00507980"/>
    <w:lvl w:ilvl="0" w:tplc="AB1AB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3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4"/>
  </w:num>
  <w:num w:numId="4">
    <w:abstractNumId w:val="11"/>
  </w:num>
  <w:num w:numId="5">
    <w:abstractNumId w:val="30"/>
  </w:num>
  <w:num w:numId="6">
    <w:abstractNumId w:val="23"/>
  </w:num>
  <w:num w:numId="7">
    <w:abstractNumId w:val="42"/>
    <w:lvlOverride w:ilvl="0">
      <w:startOverride w:val="1"/>
    </w:lvlOverride>
  </w:num>
  <w:num w:numId="8">
    <w:abstractNumId w:val="41"/>
  </w:num>
  <w:num w:numId="9">
    <w:abstractNumId w:val="3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33"/>
  </w:num>
  <w:num w:numId="14">
    <w:abstractNumId w:val="12"/>
  </w:num>
  <w:num w:numId="15">
    <w:abstractNumId w:val="37"/>
  </w:num>
  <w:num w:numId="16">
    <w:abstractNumId w:val="45"/>
  </w:num>
  <w:num w:numId="17">
    <w:abstractNumId w:val="43"/>
  </w:num>
  <w:num w:numId="18">
    <w:abstractNumId w:val="20"/>
  </w:num>
  <w:num w:numId="19">
    <w:abstractNumId w:val="13"/>
  </w:num>
  <w:num w:numId="20">
    <w:abstractNumId w:val="25"/>
  </w:num>
  <w:num w:numId="21">
    <w:abstractNumId w:val="26"/>
  </w:num>
  <w:num w:numId="22">
    <w:abstractNumId w:val="24"/>
  </w:num>
  <w:num w:numId="23">
    <w:abstractNumId w:val="32"/>
  </w:num>
  <w:num w:numId="24">
    <w:abstractNumId w:val="18"/>
  </w:num>
  <w:num w:numId="25">
    <w:abstractNumId w:val="27"/>
  </w:num>
  <w:num w:numId="26">
    <w:abstractNumId w:val="34"/>
  </w:num>
  <w:num w:numId="27">
    <w:abstractNumId w:val="17"/>
  </w:num>
  <w:num w:numId="28">
    <w:abstractNumId w:val="38"/>
  </w:num>
  <w:num w:numId="29">
    <w:abstractNumId w:val="1"/>
  </w:num>
  <w:num w:numId="30">
    <w:abstractNumId w:val="22"/>
  </w:num>
  <w:num w:numId="31">
    <w:abstractNumId w:val="31"/>
  </w:num>
  <w:num w:numId="32">
    <w:abstractNumId w:val="15"/>
  </w:num>
  <w:num w:numId="33">
    <w:abstractNumId w:val="40"/>
  </w:num>
  <w:num w:numId="34">
    <w:abstractNumId w:val="28"/>
  </w:num>
  <w:num w:numId="35">
    <w:abstractNumId w:val="10"/>
  </w:num>
  <w:num w:numId="36">
    <w:abstractNumId w:val="35"/>
  </w:num>
  <w:num w:numId="37">
    <w:abstractNumId w:val="36"/>
  </w:num>
  <w:num w:numId="3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389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347C"/>
    <w:rsid w:val="0018405A"/>
    <w:rsid w:val="001855F4"/>
    <w:rsid w:val="001859C8"/>
    <w:rsid w:val="001870BC"/>
    <w:rsid w:val="0018712C"/>
    <w:rsid w:val="00191151"/>
    <w:rsid w:val="00194DC5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F1A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31CA"/>
    <w:rsid w:val="002D463B"/>
    <w:rsid w:val="002D4D5A"/>
    <w:rsid w:val="002E2C97"/>
    <w:rsid w:val="002E4A2A"/>
    <w:rsid w:val="002F0056"/>
    <w:rsid w:val="002F1427"/>
    <w:rsid w:val="002F3058"/>
    <w:rsid w:val="002F5C09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2163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2DBA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57BB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914"/>
    <w:rsid w:val="0055094F"/>
    <w:rsid w:val="005512DB"/>
    <w:rsid w:val="005515D4"/>
    <w:rsid w:val="00551E19"/>
    <w:rsid w:val="0055216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05CD"/>
    <w:rsid w:val="005A22CB"/>
    <w:rsid w:val="005A36A4"/>
    <w:rsid w:val="005A45C4"/>
    <w:rsid w:val="005A464D"/>
    <w:rsid w:val="005A4CE8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3E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2F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C05"/>
    <w:rsid w:val="007C3EFD"/>
    <w:rsid w:val="007D068B"/>
    <w:rsid w:val="007D3484"/>
    <w:rsid w:val="007D5AE6"/>
    <w:rsid w:val="007E1A89"/>
    <w:rsid w:val="007E428C"/>
    <w:rsid w:val="007E47D5"/>
    <w:rsid w:val="007E58FC"/>
    <w:rsid w:val="007E5B57"/>
    <w:rsid w:val="007E7454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6C0E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2FF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2440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0244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4DE4"/>
    <w:rsid w:val="00D81146"/>
    <w:rsid w:val="00D90309"/>
    <w:rsid w:val="00D9413D"/>
    <w:rsid w:val="00D948F2"/>
    <w:rsid w:val="00D967F1"/>
    <w:rsid w:val="00D973E9"/>
    <w:rsid w:val="00DA029D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1F26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3887"/>
    <w:rsid w:val="00E64762"/>
    <w:rsid w:val="00E74779"/>
    <w:rsid w:val="00E74B7D"/>
    <w:rsid w:val="00E77259"/>
    <w:rsid w:val="00E77565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80BC-C23C-4EC1-80EC-93F2050A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5521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82</cp:revision>
  <cp:lastPrinted>2024-03-15T07:42:00Z</cp:lastPrinted>
  <dcterms:created xsi:type="dcterms:W3CDTF">2023-07-12T10:36:00Z</dcterms:created>
  <dcterms:modified xsi:type="dcterms:W3CDTF">2024-05-06T08:09:00Z</dcterms:modified>
</cp:coreProperties>
</file>