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89A" w:rsidRPr="00396335" w:rsidRDefault="0029489A" w:rsidP="0029489A">
      <w:pPr>
        <w:pStyle w:val="Tekstpodstawowy"/>
        <w:jc w:val="both"/>
        <w:rPr>
          <w:szCs w:val="24"/>
        </w:rPr>
      </w:pPr>
    </w:p>
    <w:p w:rsidR="0029489A" w:rsidRPr="00D2020F" w:rsidRDefault="0029489A" w:rsidP="0029489A">
      <w:pPr>
        <w:pStyle w:val="Tekstpodstawowy"/>
        <w:jc w:val="both"/>
        <w:rPr>
          <w:szCs w:val="24"/>
        </w:rPr>
      </w:pPr>
      <w:r w:rsidRPr="00D2020F">
        <w:rPr>
          <w:szCs w:val="24"/>
        </w:rPr>
        <w:t>Znak: ZOZ.V.010/DZP/</w:t>
      </w:r>
      <w:r w:rsidR="00EC27AB" w:rsidRPr="00D2020F">
        <w:rPr>
          <w:szCs w:val="24"/>
        </w:rPr>
        <w:t>6</w:t>
      </w:r>
      <w:r w:rsidR="00FE4024" w:rsidRPr="00D2020F">
        <w:rPr>
          <w:szCs w:val="24"/>
        </w:rPr>
        <w:t>8</w:t>
      </w:r>
      <w:r w:rsidRPr="00D2020F">
        <w:rPr>
          <w:szCs w:val="24"/>
        </w:rPr>
        <w:t>/</w:t>
      </w:r>
      <w:r w:rsidR="00543A2A" w:rsidRPr="00D2020F">
        <w:rPr>
          <w:szCs w:val="24"/>
        </w:rPr>
        <w:t>2</w:t>
      </w:r>
      <w:r w:rsidR="00396335" w:rsidRPr="00D2020F">
        <w:rPr>
          <w:szCs w:val="24"/>
        </w:rPr>
        <w:t>5</w:t>
      </w:r>
      <w:r w:rsidRPr="00D2020F">
        <w:rPr>
          <w:szCs w:val="24"/>
        </w:rPr>
        <w:t xml:space="preserve">            </w:t>
      </w:r>
      <w:r w:rsidR="007D4E90" w:rsidRPr="00D2020F">
        <w:rPr>
          <w:szCs w:val="24"/>
        </w:rPr>
        <w:t xml:space="preserve">                         </w:t>
      </w:r>
      <w:r w:rsidR="00521D04" w:rsidRPr="00D2020F">
        <w:rPr>
          <w:szCs w:val="24"/>
        </w:rPr>
        <w:t xml:space="preserve">       </w:t>
      </w:r>
      <w:r w:rsidRPr="00D2020F">
        <w:rPr>
          <w:szCs w:val="24"/>
        </w:rPr>
        <w:t xml:space="preserve">Sucha Beskidzka dnia </w:t>
      </w:r>
      <w:r w:rsidR="008C3855">
        <w:rPr>
          <w:szCs w:val="24"/>
        </w:rPr>
        <w:t>2</w:t>
      </w:r>
      <w:r w:rsidR="00500FB2" w:rsidRPr="00D2020F">
        <w:rPr>
          <w:szCs w:val="24"/>
        </w:rPr>
        <w:t>8.0</w:t>
      </w:r>
      <w:r w:rsidR="00EC27AB" w:rsidRPr="00D2020F">
        <w:rPr>
          <w:szCs w:val="24"/>
        </w:rPr>
        <w:t>7</w:t>
      </w:r>
      <w:r w:rsidR="008A10E7" w:rsidRPr="00D2020F">
        <w:rPr>
          <w:szCs w:val="24"/>
        </w:rPr>
        <w:t>.2025</w:t>
      </w:r>
      <w:r w:rsidR="00500FB2" w:rsidRPr="00D2020F">
        <w:rPr>
          <w:szCs w:val="24"/>
        </w:rPr>
        <w:t xml:space="preserve"> </w:t>
      </w:r>
      <w:r w:rsidR="008A10E7" w:rsidRPr="00D2020F">
        <w:rPr>
          <w:szCs w:val="24"/>
        </w:rPr>
        <w:t xml:space="preserve">r. </w:t>
      </w:r>
    </w:p>
    <w:p w:rsidR="0029489A" w:rsidRPr="00D2020F" w:rsidRDefault="0029489A" w:rsidP="0029489A">
      <w:pPr>
        <w:pStyle w:val="Tekstpodstawowy"/>
        <w:jc w:val="both"/>
        <w:rPr>
          <w:szCs w:val="24"/>
        </w:rPr>
      </w:pPr>
    </w:p>
    <w:p w:rsidR="0029489A" w:rsidRPr="00D2020F" w:rsidRDefault="0029489A" w:rsidP="0029489A">
      <w:pPr>
        <w:jc w:val="both"/>
        <w:rPr>
          <w:rFonts w:ascii="Times New Roman" w:hAnsi="Times New Roman" w:cs="Times New Roman"/>
          <w:sz w:val="24"/>
          <w:szCs w:val="24"/>
        </w:rPr>
      </w:pPr>
      <w:r w:rsidRPr="00D2020F">
        <w:rPr>
          <w:rFonts w:ascii="Times New Roman" w:hAnsi="Times New Roman" w:cs="Times New Roman"/>
          <w:sz w:val="24"/>
          <w:szCs w:val="24"/>
        </w:rPr>
        <w:t xml:space="preserve"> </w:t>
      </w:r>
    </w:p>
    <w:p w:rsidR="0054211A" w:rsidRPr="00D2020F" w:rsidRDefault="0029489A" w:rsidP="0054211A">
      <w:pPr>
        <w:rPr>
          <w:rFonts w:ascii="Times New Roman" w:hAnsi="Times New Roman" w:cs="Times New Roman"/>
          <w:snapToGrid w:val="0"/>
          <w:sz w:val="24"/>
          <w:szCs w:val="24"/>
        </w:rPr>
      </w:pPr>
      <w:r w:rsidRPr="00D2020F">
        <w:rPr>
          <w:rFonts w:ascii="Times New Roman" w:hAnsi="Times New Roman" w:cs="Times New Roman"/>
          <w:sz w:val="24"/>
          <w:szCs w:val="24"/>
        </w:rPr>
        <w:t xml:space="preserve">Dotyczy: </w:t>
      </w:r>
      <w:r w:rsidR="0054211A" w:rsidRPr="00D2020F">
        <w:rPr>
          <w:rFonts w:ascii="Times New Roman" w:hAnsi="Times New Roman" w:cs="Times New Roman"/>
          <w:b/>
          <w:sz w:val="24"/>
          <w:szCs w:val="24"/>
        </w:rPr>
        <w:t xml:space="preserve">Dostawa produktów leczniczych  i innych materiałów do Apteki Szpitalnej - uzupełnienie </w:t>
      </w:r>
      <w:r w:rsidR="00E22F11">
        <w:rPr>
          <w:rFonts w:ascii="Times New Roman" w:hAnsi="Times New Roman" w:cs="Times New Roman"/>
          <w:b/>
          <w:sz w:val="24"/>
          <w:szCs w:val="24"/>
        </w:rPr>
        <w:t>X</w:t>
      </w:r>
      <w:r w:rsidR="00396335" w:rsidRPr="00D2020F">
        <w:rPr>
          <w:rFonts w:ascii="Times New Roman" w:hAnsi="Times New Roman" w:cs="Times New Roman"/>
          <w:b/>
          <w:sz w:val="24"/>
          <w:szCs w:val="24"/>
        </w:rPr>
        <w:t>.</w:t>
      </w:r>
    </w:p>
    <w:p w:rsidR="0077589B" w:rsidRPr="00D2020F" w:rsidRDefault="0077589B" w:rsidP="0077589B">
      <w:pPr>
        <w:pStyle w:val="Tekstpodstawowy"/>
        <w:jc w:val="center"/>
        <w:rPr>
          <w:snapToGrid w:val="0"/>
          <w:color w:val="auto"/>
          <w:szCs w:val="24"/>
        </w:rPr>
      </w:pPr>
    </w:p>
    <w:p w:rsidR="00EC27AB" w:rsidRPr="00D2020F" w:rsidRDefault="00EC27AB" w:rsidP="00EC27AB">
      <w:pPr>
        <w:spacing w:after="0" w:line="240" w:lineRule="auto"/>
        <w:jc w:val="both"/>
        <w:rPr>
          <w:rFonts w:ascii="Times New Roman" w:eastAsia="Calibri" w:hAnsi="Times New Roman" w:cs="Times New Roman"/>
          <w:sz w:val="24"/>
          <w:szCs w:val="24"/>
        </w:rPr>
      </w:pPr>
      <w:r w:rsidRPr="00D2020F">
        <w:rPr>
          <w:rFonts w:ascii="Times New Roman" w:hAnsi="Times New Roman" w:cs="Times New Roman"/>
          <w:bCs/>
          <w:sz w:val="24"/>
          <w:szCs w:val="24"/>
        </w:rPr>
        <w:t>Dyrekcja Zespołu Opieki Zdrowotnej w Suchej Beskidzkiej</w:t>
      </w:r>
      <w:r w:rsidRPr="00D2020F">
        <w:rPr>
          <w:rFonts w:ascii="Times New Roman" w:eastAsia="Calibri" w:hAnsi="Times New Roman" w:cs="Times New Roman"/>
          <w:sz w:val="24"/>
          <w:szCs w:val="24"/>
        </w:rPr>
        <w:t xml:space="preserve"> informuje, że w w/w postępowaniu</w:t>
      </w:r>
      <w:r w:rsidRPr="00D2020F">
        <w:rPr>
          <w:rFonts w:ascii="Times New Roman" w:eastAsia="Calibri" w:hAnsi="Times New Roman" w:cs="Times New Roman"/>
          <w:b/>
          <w:sz w:val="24"/>
          <w:szCs w:val="24"/>
        </w:rPr>
        <w:t xml:space="preserve"> </w:t>
      </w:r>
      <w:r w:rsidRPr="00D2020F">
        <w:rPr>
          <w:rFonts w:ascii="Times New Roman" w:eastAsia="Calibri" w:hAnsi="Times New Roman" w:cs="Times New Roman"/>
          <w:sz w:val="24"/>
          <w:szCs w:val="24"/>
        </w:rPr>
        <w:t xml:space="preserve">w terminie, o którym mowa w art. 284 ust. 2 </w:t>
      </w:r>
      <w:proofErr w:type="spellStart"/>
      <w:r w:rsidRPr="00D2020F">
        <w:rPr>
          <w:rFonts w:ascii="Times New Roman" w:eastAsia="Calibri" w:hAnsi="Times New Roman" w:cs="Times New Roman"/>
          <w:sz w:val="24"/>
          <w:szCs w:val="24"/>
        </w:rPr>
        <w:t>p.z.p</w:t>
      </w:r>
      <w:proofErr w:type="spellEnd"/>
      <w:r w:rsidRPr="00D2020F">
        <w:rPr>
          <w:rFonts w:ascii="Times New Roman" w:eastAsia="Calibri" w:hAnsi="Times New Roman" w:cs="Times New Roman"/>
          <w:sz w:val="24"/>
          <w:szCs w:val="24"/>
        </w:rPr>
        <w:t>. wpłynęły wnioski o wyjaśnienie treści SWZ. W związku z tym poniżej Zamawiający przedstawia ich treść wraz z wyjaśnieniami:</w:t>
      </w:r>
    </w:p>
    <w:p w:rsidR="00DF287A" w:rsidRDefault="00EC27AB" w:rsidP="00DF287A">
      <w:pPr>
        <w:spacing w:line="312" w:lineRule="auto"/>
        <w:rPr>
          <w:rFonts w:ascii="Times New Roman" w:hAnsi="Times New Roman" w:cs="Times New Roman"/>
          <w:b/>
          <w:sz w:val="24"/>
          <w:szCs w:val="24"/>
        </w:rPr>
      </w:pPr>
      <w:r w:rsidRPr="00D2020F">
        <w:rPr>
          <w:rFonts w:ascii="Times New Roman" w:eastAsia="Times New Roman" w:hAnsi="Times New Roman" w:cs="Times New Roman"/>
          <w:sz w:val="24"/>
          <w:szCs w:val="24"/>
          <w:lang w:eastAsia="pl-PL"/>
        </w:rPr>
        <w:br/>
      </w:r>
      <w:bookmarkStart w:id="0" w:name="_Hlk65657804"/>
      <w:r w:rsidR="008C3855" w:rsidRPr="008C3855">
        <w:rPr>
          <w:rFonts w:ascii="Times New Roman" w:hAnsi="Times New Roman" w:cs="Times New Roman"/>
          <w:sz w:val="24"/>
          <w:szCs w:val="24"/>
          <w:shd w:val="clear" w:color="auto" w:fill="FFFFFF"/>
        </w:rPr>
        <w:t>1. Do §2 ust. 4 zdanie drugie wzoru umowy: Wnosimy o modyfikację postanowień, które dopuszczają dowolne zmiany ilości towaru w ramach wartości danej części, aby uszczegółowione zostały w postaci procentowej graniczne wartości dla poszczególnych pozycji asortymentowych, które Zamawiający zamierza zrealizować. Proponujemy, aby granica ta wynosiła np. 20%, co będzie oznaczać, że ilości poszczególnych towarów w formularzu asortymentowo-cenowym będą mogły ulec zmniejszeniu lub zwiększeniu w granicach +/- 20%, a Zamawiający będzie miał możliwość zamówienia o 20% mniejszych lub o 20% większych ilości każdej pozycji asortymentowej. Aktualna treść tego zapisu może wskazywać na prawo Zamawiającego do zakupów dowolnych ilości jednego produktu, przy jednoczesnej rezygnacji z zakupu innych produktów, zaś jedynym warunkiem tych zmian ma być brak przekroczenia wartości danej części. Tak niejednoznaczne zapisy utrudniają wykonawcom właściwe przygotowanie do wykonywania umowy, ponieważ nie znają oni faktycznej wielkości zamówienia.</w:t>
      </w:r>
      <w:r w:rsidR="008C3855" w:rsidRPr="008C3855">
        <w:rPr>
          <w:rFonts w:ascii="Times New Roman" w:hAnsi="Times New Roman" w:cs="Times New Roman"/>
          <w:sz w:val="24"/>
          <w:szCs w:val="24"/>
        </w:rPr>
        <w:br/>
      </w:r>
      <w:r w:rsidR="008C3855" w:rsidRPr="008C3855">
        <w:rPr>
          <w:rFonts w:ascii="Times New Roman" w:hAnsi="Times New Roman" w:cs="Times New Roman"/>
          <w:sz w:val="24"/>
          <w:szCs w:val="24"/>
        </w:rPr>
        <w:br/>
      </w:r>
      <w:r w:rsidR="008C3855" w:rsidRPr="008C3855">
        <w:rPr>
          <w:rFonts w:ascii="Times New Roman" w:hAnsi="Times New Roman" w:cs="Times New Roman"/>
          <w:sz w:val="24"/>
          <w:szCs w:val="24"/>
          <w:shd w:val="clear" w:color="auto" w:fill="FFFFFF"/>
        </w:rPr>
        <w:t xml:space="preserve">Nasza prośba znajduje uzasadnienie w wyroku z dnia 17.11.2023 r. (sygn.: KIO 3212/23), w którym Krajowa Izba Odwoławcza uwzględniła odwołanie wniesione przez wykonawcę </w:t>
      </w:r>
      <w:proofErr w:type="spellStart"/>
      <w:r w:rsidR="008C3855" w:rsidRPr="008C3855">
        <w:rPr>
          <w:rFonts w:ascii="Times New Roman" w:hAnsi="Times New Roman" w:cs="Times New Roman"/>
          <w:sz w:val="24"/>
          <w:szCs w:val="24"/>
          <w:shd w:val="clear" w:color="auto" w:fill="FFFFFF"/>
        </w:rPr>
        <w:t>Urtica</w:t>
      </w:r>
      <w:proofErr w:type="spellEnd"/>
      <w:r w:rsidR="008C3855" w:rsidRPr="008C3855">
        <w:rPr>
          <w:rFonts w:ascii="Times New Roman" w:hAnsi="Times New Roman" w:cs="Times New Roman"/>
          <w:sz w:val="24"/>
          <w:szCs w:val="24"/>
          <w:shd w:val="clear" w:color="auto" w:fill="FFFFFF"/>
        </w:rPr>
        <w:t xml:space="preserve"> Sp. z o.o. z siedzibą we Wrocławiu, dotyczące analogicznych postanowień umownych, w postępowaniu zorganizowanym przez Szpital Specjalistyczny im. E. Biernackiego w Mielcu, którego przedmiotem były dostawy produktów leczniczych oraz wyrobów medycznych, uznając za uzasadnione zarzuty naruszenia art. 99 ust. 1, art. 433 pkt 4 oraz art. 441 ust. 1 ustawy z dnia 11 września 2019 r. Prawo Zamówień Publicznych (Dz. U. 2024 poz. 1320 ze zm.). We wyroku tym, KIO nie tylko stwierdziła, że Zamawiający jest bezwzględnie zobowiązany wskazać minimalną ilość każdego zamawianego produktu, zgodnie z art. 433 pkt 4 PZP, lecz przede wszystkim uznała, że Zamawiający ma bezwzględny obowiązek wskazać w zakresie każdego zamawianego produktu, jego ilość, do której zamierza zwiększyć </w:t>
      </w:r>
      <w:r w:rsidR="008C3855" w:rsidRPr="008C3855">
        <w:rPr>
          <w:rFonts w:ascii="Times New Roman" w:hAnsi="Times New Roman" w:cs="Times New Roman"/>
          <w:sz w:val="24"/>
          <w:szCs w:val="24"/>
          <w:shd w:val="clear" w:color="auto" w:fill="FFFFFF"/>
        </w:rPr>
        <w:lastRenderedPageBreak/>
        <w:t>zakres zamówienia w ramach korzystania z prawa opcji, co z kolei wynika z art. 441 ust. 1 PZP.</w:t>
      </w:r>
      <w:r w:rsidR="008C3855" w:rsidRPr="008C3855">
        <w:rPr>
          <w:rFonts w:ascii="Times New Roman" w:hAnsi="Times New Roman" w:cs="Times New Roman"/>
          <w:sz w:val="24"/>
          <w:szCs w:val="24"/>
        </w:rPr>
        <w:br/>
      </w:r>
      <w:r w:rsidR="008C3855" w:rsidRPr="008C3855">
        <w:rPr>
          <w:rFonts w:ascii="Times New Roman" w:hAnsi="Times New Roman" w:cs="Times New Roman"/>
          <w:sz w:val="24"/>
          <w:szCs w:val="24"/>
        </w:rPr>
        <w:br/>
      </w:r>
      <w:r w:rsidR="008C3855" w:rsidRPr="008C3855">
        <w:rPr>
          <w:rFonts w:ascii="Times New Roman" w:hAnsi="Times New Roman" w:cs="Times New Roman"/>
          <w:sz w:val="24"/>
          <w:szCs w:val="24"/>
          <w:shd w:val="clear" w:color="auto" w:fill="FFFFFF"/>
        </w:rPr>
        <w:t>KIO uznała, że opis przedmiotu zamówienia, który przewiduje dowolne zwiększanie lub zmniejszanie ilości produktów z wybranych pozycji asortymentu, w tym całkowitą rezygnację z niektórych pozycji, należy uznać za niejednoznaczny, niewyczerpujący, nieprecyzyjny, a także nieuwzględniający wszystkich wymagań i okoliczności, mogących mieć wpływ na sporządzenie oferty. Izba zauważyła, że możliwość zwiększenia zakresu zamówienia w istocie stanowi opcję, co potwierdza art. 31 ust. 2 PZP, z którego wynika, że przy ustaleniu wartości zamówienia uwzględnia się największy możliwy zakres tego zamówienia z uwzględnieniem opcji. KIO potwierdziła, że przy ograniczaniu zakresu zamówienia należy przestrzegać zasady wynikającej z art. 433 pkt 4 PZP, a w zakresie, gdzie zwiększenie zakresu zamówienia stanowi opcję, należy stosować się do reguł wynikających z art. 441 ust. 1 PZP. Zamawiający ma zatem możliwość zastrzeżenia w umowie „opcji w górę”, przewidującej zwiększenie zakresu zamówienia oraz „opcji w dół”, pozwalającej na ograniczenie zakresu zamówienia. Nie jest nieprawidłowe zawarcie obu tych możliwości w jednym postanowieniu umowy lub powiązanie ich ze sobą, ale trzeba mieć na uwadze, że postanowienia umowy dotyczące zmian ilości asortymentu będą pozostawać zgodne z art. 433 pkt 4 PZP oraz art. 441 ust. 1 PZP wyłącznie w przypadku, gdy w treści umowy zostaną dokładnie określone granice zmian ilościowych „w dół” i „w górę” w odniesieniu do poszczególnych pozycji asortymentowych. Ponadto, wszelkie okoliczności, które powodują, że Zamawiający nie jest w stanie przewidzieć, ile dokładnie poszczególnych produktów potrzebuje do udzielania świadczeń zdrowotnych, nie stanowią uzasadnienia dla naruszania art. 99 ust. 1 PZP, art. 433 pkt 4 PZP i art. 441 ust. 1 PZP, gdyż normy te są bezwzględnie obowiązujące, więc nie podlegają ograniczeniu lub wyłączeniu.</w:t>
      </w:r>
      <w:r w:rsidR="008C3855" w:rsidRPr="008C3855">
        <w:rPr>
          <w:rFonts w:ascii="Times New Roman" w:hAnsi="Times New Roman" w:cs="Times New Roman"/>
          <w:sz w:val="24"/>
          <w:szCs w:val="24"/>
        </w:rPr>
        <w:br/>
      </w:r>
      <w:r w:rsidR="008C3855" w:rsidRPr="008C3855">
        <w:rPr>
          <w:rFonts w:ascii="Times New Roman" w:hAnsi="Times New Roman" w:cs="Times New Roman"/>
          <w:sz w:val="24"/>
          <w:szCs w:val="24"/>
          <w:shd w:val="clear" w:color="auto" w:fill="FFFFFF"/>
        </w:rPr>
        <w:t>Prosimy również o dodanie zastrzeżenia, że możliwość zwiększenia ilości poszczególnych pozycji asortymentowych, przy jednoczesnym zmniejszeniu ilości innych pozycji asortymentowych w ramach wartości pakietu, będzie wymagać pisemnej zgody wykonawcy (aneksu).</w:t>
      </w:r>
      <w:r w:rsidR="008C3855" w:rsidRPr="008C3855">
        <w:rPr>
          <w:rFonts w:ascii="Times New Roman" w:hAnsi="Times New Roman" w:cs="Times New Roman"/>
          <w:sz w:val="24"/>
          <w:szCs w:val="24"/>
        </w:rPr>
        <w:br/>
      </w:r>
      <w:r w:rsidR="00DF287A">
        <w:rPr>
          <w:rFonts w:ascii="Times New Roman" w:hAnsi="Times New Roman" w:cs="Times New Roman"/>
          <w:b/>
          <w:sz w:val="24"/>
          <w:szCs w:val="24"/>
        </w:rPr>
        <w:t>Odp. Zamawiający nie wyraża zgody na modyfikację.</w:t>
      </w:r>
    </w:p>
    <w:p w:rsidR="00DF287A" w:rsidRDefault="008C3855" w:rsidP="00DF287A">
      <w:pPr>
        <w:spacing w:line="312" w:lineRule="auto"/>
        <w:rPr>
          <w:rFonts w:ascii="Times New Roman" w:hAnsi="Times New Roman" w:cs="Times New Roman"/>
          <w:b/>
          <w:sz w:val="24"/>
          <w:szCs w:val="24"/>
        </w:rPr>
      </w:pPr>
      <w:r w:rsidRPr="008C3855">
        <w:rPr>
          <w:rFonts w:ascii="Times New Roman" w:hAnsi="Times New Roman" w:cs="Times New Roman"/>
          <w:sz w:val="24"/>
          <w:szCs w:val="24"/>
        </w:rPr>
        <w:br/>
      </w:r>
      <w:r w:rsidRPr="008C3855">
        <w:rPr>
          <w:rFonts w:ascii="Times New Roman" w:hAnsi="Times New Roman" w:cs="Times New Roman"/>
          <w:sz w:val="24"/>
          <w:szCs w:val="24"/>
          <w:shd w:val="clear" w:color="auto" w:fill="FFFFFF"/>
        </w:rPr>
        <w:t>2. Do §6 ust. 2 pkt 1, ust. 8 wzoru umowy. Czy Zamawiający zgodzi się na zmianę §6 ust. 2 pkt 1, ust. 8 wzoru umowy poprzez: usunięcie postanowienia ustanawiającego poziom zmiany ceny materiałów lub kosztów uprawniający strony umowy do żądania zmiany wynagrodzenia na 20% lub 10% oraz zastąpienie go postanowieniem przewidującym, że wartość ww. poziomu zmiany cen wyniesie 3%, albowiem ww. postanowienie narusza zasadę ekwiwalentności świadczeń stron oraz postulat równomiernego rozłożenia ryzyka kontraktowego?</w:t>
      </w:r>
      <w:r w:rsidRPr="008C3855">
        <w:rPr>
          <w:rFonts w:ascii="Times New Roman" w:hAnsi="Times New Roman" w:cs="Times New Roman"/>
          <w:sz w:val="24"/>
          <w:szCs w:val="24"/>
        </w:rPr>
        <w:br/>
      </w:r>
      <w:r w:rsidRPr="008C3855">
        <w:rPr>
          <w:rFonts w:ascii="Times New Roman" w:hAnsi="Times New Roman" w:cs="Times New Roman"/>
          <w:sz w:val="24"/>
          <w:szCs w:val="24"/>
        </w:rPr>
        <w:lastRenderedPageBreak/>
        <w:br/>
      </w:r>
      <w:r w:rsidRPr="008C3855">
        <w:rPr>
          <w:rFonts w:ascii="Times New Roman" w:hAnsi="Times New Roman" w:cs="Times New Roman"/>
          <w:sz w:val="24"/>
          <w:szCs w:val="24"/>
          <w:shd w:val="clear" w:color="auto" w:fill="FFFFFF"/>
        </w:rPr>
        <w:t>Wskazać należy, że zapis §6 ust. 2 pkt 1, ust. 8 ustanawiający poziom zmiany ceny materiałów lub kosztów uprawniający strony umowy do żądania zmiany wynagrodzenia na 20% lub 10% nie zapewnia ekwiwalentności świadczeń stron umowy oraz nie niweluje ryzyka związanego ze zmianą kosztów wykonania zamówienia publicznego, co przy aktualnym poziomie inflacji prowadzi do uznania, że narusza on istotę waloryzacji, zasady uczciwej konkurencji oraz postulat równego traktowania stron stosunku zobowiązaniowego. W obecnym brzmieniu tego zapisu, Wykonawca musi z góry założyć, że w razie wzrostu kosztów realizacji umowy np. o 19% (co stanowi bardzo dużą wartość, uwzględniając kwotę przedmiotu zamówienia oraz niskie marże w zamówieniach publicznych na dostawy leków) jego wynagrodzenie nie zostanie zwiększone. Tak znaczne ograniczenie możliwości waloryzacji wynagrodzenia w umowie jest przejawem nadużycia przez Zamawiającego dominującej pozycji w postępowaniu, w związku z czym kwestionowany zapis powinien zostać zmieniony w zaproponowany sposób.</w:t>
      </w:r>
      <w:r w:rsidRPr="008C3855">
        <w:rPr>
          <w:rFonts w:ascii="Times New Roman" w:hAnsi="Times New Roman" w:cs="Times New Roman"/>
          <w:sz w:val="24"/>
          <w:szCs w:val="24"/>
        </w:rPr>
        <w:br/>
      </w:r>
      <w:r w:rsidR="00DF287A">
        <w:rPr>
          <w:rFonts w:ascii="Times New Roman" w:hAnsi="Times New Roman" w:cs="Times New Roman"/>
          <w:b/>
          <w:sz w:val="24"/>
          <w:szCs w:val="24"/>
        </w:rPr>
        <w:t xml:space="preserve">Odp. Zamawiający nie wyraża zgody na modyfikację. </w:t>
      </w:r>
    </w:p>
    <w:p w:rsidR="006B6FB3" w:rsidRDefault="008C3855" w:rsidP="00DF287A">
      <w:pPr>
        <w:spacing w:line="312" w:lineRule="auto"/>
        <w:rPr>
          <w:rFonts w:ascii="Times New Roman" w:hAnsi="Times New Roman" w:cs="Times New Roman"/>
          <w:sz w:val="24"/>
          <w:szCs w:val="24"/>
          <w:shd w:val="clear" w:color="auto" w:fill="FFFFFF"/>
        </w:rPr>
      </w:pPr>
      <w:r w:rsidRPr="008C3855">
        <w:rPr>
          <w:rFonts w:ascii="Times New Roman" w:hAnsi="Times New Roman" w:cs="Times New Roman"/>
          <w:sz w:val="24"/>
          <w:szCs w:val="24"/>
        </w:rPr>
        <w:br/>
      </w:r>
      <w:r w:rsidRPr="008C3855">
        <w:rPr>
          <w:rFonts w:ascii="Times New Roman" w:hAnsi="Times New Roman" w:cs="Times New Roman"/>
          <w:sz w:val="24"/>
          <w:szCs w:val="24"/>
          <w:shd w:val="clear" w:color="auto" w:fill="FFFFFF"/>
        </w:rPr>
        <w:t xml:space="preserve">3. Do §6 ust. 4 wzoru umowy Czy Zamawiający wyrazi zgodę na usunięcie fragmentu o dołączaniu do wniosku o waloryzację szczegółowej kalkulacji kosztów, mających wpływ na przedmiotową zmianę, gdyż uzależnienie uruchomienia mechanizmu waloryzacji wynagrodzenia od przedłożenia przez Wykonawcę ww. dokumentów uznać należy za nieuprawnione w świetle art. 439 ust. 1 i 2 PZP. Zarówno w orzecznictwie, jak i w doktrynie wskazuje się, że zmiana wynagrodzenia winna być oparta o zmiany ceny materiałów lub kosztów określone wskaźnikiem obiektywnym, jednoznacznym, łatwo dostępnym, niezależnym od stron umowy, jak najbliżej związanym z przedmiotem zamówienia (tak: E. Wiktorowska [w:] A. Gawrońska-Baran, A. Wiktorowski, P. Wójcik, E. Wiktorowska, Prawo zamówień publicznych. Komentarz aktualizowany, LEX/el. 2023, art. 439), np. wskaźnikiem cen towarów i usług konsumpcyjnych ogłaszanym w komunikacie Prezesa GUS. Tym samym, podstawą do obliczenia zmiany wynagrodzenia powinien być sam fakt zmiany wybranego wskaźnika. Skorzystanie przez strony umowy z wybranej metody indeksacji nie może wymagać przeprowadzenia przez wykonawcę dodatkowych dowodów i wyjaśnień, przedkładania ofert dostawców lub podwykonawców potwierdzających bezpośredni lub pośredni wpływ na koszty ponoszone przez wykonawcę w związku z realizacją zamówienia w przypadku wzrostu lub zmniejszenia wielkości wskaźnika (tak: E. Wiatrowska… op. cit.). Poprzez wprowadzenie do PZP obligatoryjnego wymogu zawarcia w umowie postanowień o </w:t>
      </w:r>
      <w:r w:rsidRPr="008C3855">
        <w:rPr>
          <w:rFonts w:ascii="Times New Roman" w:hAnsi="Times New Roman" w:cs="Times New Roman"/>
          <w:sz w:val="24"/>
          <w:szCs w:val="24"/>
          <w:shd w:val="clear" w:color="auto" w:fill="FFFFFF"/>
        </w:rPr>
        <w:lastRenderedPageBreak/>
        <w:t>zasadach wprowadzenia zmian wysokości wynagrodzenia należnego wykonawcy w przypadku zmiany cen materiałów lub kosztów związanych z realizacją zamówienia, ustawodawcy należy przypisać zamiar zastosowania automatyzmu właściwego dla instytucji waloryzacji. Ponadto, wymóg ten może stanowić naruszenie tajemnicy przedsiębiorstwa, gdyż zgodnie ze stanowiskiem dominującym w orzecznictwie KIO, tajemnicą przedsiębiorstwa mogą być objęte m.in. kalkulacje ceny ofertowej (sposób kalkulacji, przyjęte kwoty), dostawy (w tym ceny materiałów), stosowane rozwiązania organizacyjne.</w:t>
      </w:r>
      <w:bookmarkEnd w:id="0"/>
    </w:p>
    <w:p w:rsidR="00DF287A" w:rsidRDefault="00DF287A" w:rsidP="00DF287A">
      <w:pPr>
        <w:spacing w:line="312" w:lineRule="auto"/>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Odp. Zamawiający nie wyraża zgody.</w:t>
      </w:r>
    </w:p>
    <w:p w:rsidR="00DF287A" w:rsidRDefault="00DF287A" w:rsidP="00DF287A">
      <w:pPr>
        <w:spacing w:line="312" w:lineRule="auto"/>
        <w:rPr>
          <w:rFonts w:ascii="Times New Roman" w:hAnsi="Times New Roman" w:cs="Times New Roman"/>
          <w:b/>
          <w:sz w:val="24"/>
          <w:szCs w:val="24"/>
          <w:shd w:val="clear" w:color="auto" w:fill="FFFFFF"/>
        </w:rPr>
      </w:pPr>
      <w:bookmarkStart w:id="1" w:name="_GoBack"/>
      <w:bookmarkEnd w:id="1"/>
    </w:p>
    <w:sectPr w:rsidR="00DF287A" w:rsidSect="0077589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00B" w:rsidRDefault="00B6500B" w:rsidP="00B6500B">
      <w:pPr>
        <w:spacing w:after="0" w:line="240" w:lineRule="auto"/>
      </w:pPr>
      <w:r>
        <w:separator/>
      </w:r>
    </w:p>
  </w:endnote>
  <w:endnote w:type="continuationSeparator" w:id="0">
    <w:p w:rsidR="00B6500B" w:rsidRDefault="00B6500B" w:rsidP="00B65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00B" w:rsidRDefault="00B6500B" w:rsidP="00B6500B">
      <w:pPr>
        <w:spacing w:after="0" w:line="240" w:lineRule="auto"/>
      </w:pPr>
      <w:r>
        <w:separator/>
      </w:r>
    </w:p>
  </w:footnote>
  <w:footnote w:type="continuationSeparator" w:id="0">
    <w:p w:rsidR="00B6500B" w:rsidRDefault="00B6500B" w:rsidP="00B650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00B" w:rsidRDefault="006F06E0" w:rsidP="006F06E0">
    <w:pPr>
      <w:pStyle w:val="Nagwek"/>
      <w:ind w:left="-851"/>
    </w:pPr>
    <w:r>
      <w:rPr>
        <w:noProof/>
        <w:lang w:eastAsia="pl-PL"/>
      </w:rPr>
      <w:drawing>
        <wp:inline distT="0" distB="0" distL="0" distR="0" wp14:anchorId="226DD567" wp14:editId="6AA085FD">
          <wp:extent cx="6911741" cy="1331595"/>
          <wp:effectExtent l="0" t="0" r="3810" b="190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52739" cy="133949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1DAA"/>
    <w:multiLevelType w:val="singleLevel"/>
    <w:tmpl w:val="0415000F"/>
    <w:lvl w:ilvl="0">
      <w:start w:val="1"/>
      <w:numFmt w:val="decimal"/>
      <w:lvlText w:val="%1."/>
      <w:lvlJc w:val="left"/>
      <w:pPr>
        <w:tabs>
          <w:tab w:val="num" w:pos="360"/>
        </w:tabs>
        <w:ind w:left="360" w:hanging="360"/>
      </w:pPr>
    </w:lvl>
  </w:abstractNum>
  <w:abstractNum w:abstractNumId="1" w15:restartNumberingAfterBreak="0">
    <w:nsid w:val="35EB402A"/>
    <w:multiLevelType w:val="hybridMultilevel"/>
    <w:tmpl w:val="DF52CE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5C335DAD"/>
    <w:multiLevelType w:val="hybridMultilevel"/>
    <w:tmpl w:val="A24E1F7A"/>
    <w:lvl w:ilvl="0" w:tplc="0415000F">
      <w:start w:val="1"/>
      <w:numFmt w:val="decimal"/>
      <w:lvlText w:val="%1."/>
      <w:lvlJc w:val="left"/>
      <w:pPr>
        <w:ind w:left="502"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 w15:restartNumberingAfterBreak="0">
    <w:nsid w:val="65524DD6"/>
    <w:multiLevelType w:val="singleLevel"/>
    <w:tmpl w:val="1714A126"/>
    <w:lvl w:ilvl="0">
      <w:start w:val="1"/>
      <w:numFmt w:val="lowerLetter"/>
      <w:lvlText w:val="%1)"/>
      <w:lvlJc w:val="left"/>
      <w:pPr>
        <w:tabs>
          <w:tab w:val="num" w:pos="720"/>
        </w:tabs>
        <w:ind w:left="720" w:hanging="360"/>
      </w:pPr>
    </w:lvl>
  </w:abstractNum>
  <w:num w:numId="1">
    <w:abstractNumId w:val="0"/>
    <w:lvlOverride w:ilvl="0">
      <w:startOverride w:val="1"/>
    </w:lvlOverride>
  </w:num>
  <w:num w:numId="2">
    <w:abstractNumId w:val="3"/>
    <w:lvlOverride w:ilvl="0">
      <w:startOverride w:val="1"/>
    </w:lvlOverride>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89A"/>
    <w:rsid w:val="0001709A"/>
    <w:rsid w:val="000518BF"/>
    <w:rsid w:val="0006000D"/>
    <w:rsid w:val="00065706"/>
    <w:rsid w:val="00085C4E"/>
    <w:rsid w:val="00087010"/>
    <w:rsid w:val="000929A4"/>
    <w:rsid w:val="000D48BB"/>
    <w:rsid w:val="0010593E"/>
    <w:rsid w:val="00130D0C"/>
    <w:rsid w:val="00173F5D"/>
    <w:rsid w:val="00190071"/>
    <w:rsid w:val="002377B6"/>
    <w:rsid w:val="00273BFC"/>
    <w:rsid w:val="002803A3"/>
    <w:rsid w:val="002827B8"/>
    <w:rsid w:val="0029489A"/>
    <w:rsid w:val="002D04A4"/>
    <w:rsid w:val="002D77E2"/>
    <w:rsid w:val="003001BD"/>
    <w:rsid w:val="00305FC0"/>
    <w:rsid w:val="003100F7"/>
    <w:rsid w:val="00314719"/>
    <w:rsid w:val="0036517D"/>
    <w:rsid w:val="003757FD"/>
    <w:rsid w:val="003900C5"/>
    <w:rsid w:val="00396335"/>
    <w:rsid w:val="003F69C2"/>
    <w:rsid w:val="00423746"/>
    <w:rsid w:val="00471C65"/>
    <w:rsid w:val="00492ECF"/>
    <w:rsid w:val="004A2780"/>
    <w:rsid w:val="004D4620"/>
    <w:rsid w:val="004D62C5"/>
    <w:rsid w:val="00500FB2"/>
    <w:rsid w:val="00521D04"/>
    <w:rsid w:val="0054211A"/>
    <w:rsid w:val="00543A2A"/>
    <w:rsid w:val="00566AF5"/>
    <w:rsid w:val="005C2928"/>
    <w:rsid w:val="00613B9E"/>
    <w:rsid w:val="00617472"/>
    <w:rsid w:val="00673DD7"/>
    <w:rsid w:val="0068648C"/>
    <w:rsid w:val="00695F88"/>
    <w:rsid w:val="006B6FB3"/>
    <w:rsid w:val="006F06E0"/>
    <w:rsid w:val="00740C37"/>
    <w:rsid w:val="0077589B"/>
    <w:rsid w:val="007D4E90"/>
    <w:rsid w:val="007D65F4"/>
    <w:rsid w:val="007D6DDC"/>
    <w:rsid w:val="007E21F6"/>
    <w:rsid w:val="00884FF9"/>
    <w:rsid w:val="008A10E7"/>
    <w:rsid w:val="008C3855"/>
    <w:rsid w:val="008E4FA1"/>
    <w:rsid w:val="008F4546"/>
    <w:rsid w:val="008F762F"/>
    <w:rsid w:val="00950C98"/>
    <w:rsid w:val="009A6D3D"/>
    <w:rsid w:val="009B690B"/>
    <w:rsid w:val="009D58CE"/>
    <w:rsid w:val="00A1759E"/>
    <w:rsid w:val="00A227D7"/>
    <w:rsid w:val="00A761C9"/>
    <w:rsid w:val="00AA74D3"/>
    <w:rsid w:val="00AB001D"/>
    <w:rsid w:val="00AD0A9E"/>
    <w:rsid w:val="00AE416C"/>
    <w:rsid w:val="00AE51A7"/>
    <w:rsid w:val="00AF05D4"/>
    <w:rsid w:val="00AF243D"/>
    <w:rsid w:val="00B6500B"/>
    <w:rsid w:val="00BB37AC"/>
    <w:rsid w:val="00BB3A05"/>
    <w:rsid w:val="00BD6036"/>
    <w:rsid w:val="00C30F98"/>
    <w:rsid w:val="00C32BC0"/>
    <w:rsid w:val="00CB1E65"/>
    <w:rsid w:val="00CB37AF"/>
    <w:rsid w:val="00CB7CD2"/>
    <w:rsid w:val="00D13765"/>
    <w:rsid w:val="00D15E5B"/>
    <w:rsid w:val="00D2020F"/>
    <w:rsid w:val="00D23C69"/>
    <w:rsid w:val="00D37128"/>
    <w:rsid w:val="00D70625"/>
    <w:rsid w:val="00D92329"/>
    <w:rsid w:val="00DB4269"/>
    <w:rsid w:val="00DD02D7"/>
    <w:rsid w:val="00DD066D"/>
    <w:rsid w:val="00DD3084"/>
    <w:rsid w:val="00DD49EB"/>
    <w:rsid w:val="00DF21BF"/>
    <w:rsid w:val="00DF27A8"/>
    <w:rsid w:val="00DF287A"/>
    <w:rsid w:val="00E22F11"/>
    <w:rsid w:val="00E40633"/>
    <w:rsid w:val="00EA4AD5"/>
    <w:rsid w:val="00EC27AB"/>
    <w:rsid w:val="00F33EB4"/>
    <w:rsid w:val="00F35F7F"/>
    <w:rsid w:val="00F54145"/>
    <w:rsid w:val="00F920EA"/>
    <w:rsid w:val="00FA6072"/>
    <w:rsid w:val="00FE4024"/>
    <w:rsid w:val="00FF2C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66DA37-98CF-4EBA-B67F-545FF4311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9489A"/>
  </w:style>
  <w:style w:type="paragraph" w:styleId="Nagwek1">
    <w:name w:val="heading 1"/>
    <w:basedOn w:val="Normalny"/>
    <w:next w:val="Normalny"/>
    <w:link w:val="Nagwek1Znak"/>
    <w:uiPriority w:val="9"/>
    <w:qFormat/>
    <w:rsid w:val="000518BF"/>
    <w:pPr>
      <w:keepNext/>
      <w:spacing w:after="0" w:line="240" w:lineRule="auto"/>
      <w:jc w:val="center"/>
      <w:outlineLvl w:val="0"/>
    </w:pPr>
    <w:rPr>
      <w:rFonts w:ascii="Times New Roman" w:eastAsia="Times New Roman" w:hAnsi="Times New Roman" w:cs="Times New Roman"/>
      <w:b/>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29489A"/>
    <w:rPr>
      <w:b/>
      <w:bCs/>
    </w:rPr>
  </w:style>
  <w:style w:type="paragraph" w:styleId="Tekstpodstawowy">
    <w:name w:val="Body Text"/>
    <w:basedOn w:val="Normalny"/>
    <w:link w:val="TekstpodstawowyZnak"/>
    <w:uiPriority w:val="99"/>
    <w:rsid w:val="0029489A"/>
    <w:pPr>
      <w:spacing w:after="0" w:line="240" w:lineRule="auto"/>
    </w:pPr>
    <w:rPr>
      <w:rFonts w:ascii="Times New Roman" w:eastAsia="Times New Roman" w:hAnsi="Times New Roman" w:cs="Times New Roman"/>
      <w:color w:val="000000"/>
      <w:sz w:val="24"/>
      <w:szCs w:val="20"/>
      <w:lang w:eastAsia="pl-PL"/>
    </w:rPr>
  </w:style>
  <w:style w:type="character" w:customStyle="1" w:styleId="TekstpodstawowyZnak">
    <w:name w:val="Tekst podstawowy Znak"/>
    <w:basedOn w:val="Domylnaczcionkaakapitu"/>
    <w:link w:val="Tekstpodstawowy"/>
    <w:uiPriority w:val="99"/>
    <w:rsid w:val="0029489A"/>
    <w:rPr>
      <w:rFonts w:ascii="Times New Roman" w:eastAsia="Times New Roman" w:hAnsi="Times New Roman" w:cs="Times New Roman"/>
      <w:color w:val="000000"/>
      <w:sz w:val="24"/>
      <w:szCs w:val="20"/>
      <w:lang w:eastAsia="pl-PL"/>
    </w:rPr>
  </w:style>
  <w:style w:type="paragraph" w:customStyle="1" w:styleId="Standard">
    <w:name w:val="Standard"/>
    <w:basedOn w:val="Normalny"/>
    <w:rsid w:val="00543A2A"/>
    <w:pPr>
      <w:widowControl w:val="0"/>
      <w:suppressAutoHyphens/>
      <w:autoSpaceDE w:val="0"/>
      <w:spacing w:after="0" w:line="240" w:lineRule="auto"/>
    </w:pPr>
    <w:rPr>
      <w:rFonts w:ascii="Times New Roman" w:eastAsia="Times New Roman" w:hAnsi="Times New Roman" w:cs="Times New Roman"/>
      <w:sz w:val="24"/>
      <w:szCs w:val="20"/>
      <w:lang w:eastAsia="pl-PL"/>
    </w:rPr>
  </w:style>
  <w:style w:type="paragraph" w:styleId="Tekstdymka">
    <w:name w:val="Balloon Text"/>
    <w:basedOn w:val="Normalny"/>
    <w:link w:val="TekstdymkaZnak"/>
    <w:uiPriority w:val="99"/>
    <w:semiHidden/>
    <w:unhideWhenUsed/>
    <w:rsid w:val="003001B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001BD"/>
    <w:rPr>
      <w:rFonts w:ascii="Segoe UI" w:hAnsi="Segoe UI" w:cs="Segoe UI"/>
      <w:sz w:val="18"/>
      <w:szCs w:val="18"/>
    </w:rPr>
  </w:style>
  <w:style w:type="paragraph" w:styleId="Nagwek">
    <w:name w:val="header"/>
    <w:basedOn w:val="Normalny"/>
    <w:link w:val="NagwekZnak"/>
    <w:uiPriority w:val="99"/>
    <w:unhideWhenUsed/>
    <w:rsid w:val="00B6500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6500B"/>
  </w:style>
  <w:style w:type="paragraph" w:styleId="Stopka">
    <w:name w:val="footer"/>
    <w:basedOn w:val="Normalny"/>
    <w:link w:val="StopkaZnak"/>
    <w:uiPriority w:val="99"/>
    <w:unhideWhenUsed/>
    <w:rsid w:val="00B6500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6500B"/>
  </w:style>
  <w:style w:type="character" w:customStyle="1" w:styleId="Nagwek1Znak">
    <w:name w:val="Nagłówek 1 Znak"/>
    <w:basedOn w:val="Domylnaczcionkaakapitu"/>
    <w:link w:val="Nagwek1"/>
    <w:uiPriority w:val="9"/>
    <w:rsid w:val="000518BF"/>
    <w:rPr>
      <w:rFonts w:ascii="Times New Roman" w:eastAsia="Times New Roman" w:hAnsi="Times New Roman" w:cs="Times New Roman"/>
      <w:b/>
      <w:sz w:val="24"/>
      <w:szCs w:val="20"/>
      <w:lang w:eastAsia="pl-PL"/>
    </w:rPr>
  </w:style>
  <w:style w:type="paragraph" w:styleId="Akapitzlist">
    <w:name w:val="List Paragraph"/>
    <w:basedOn w:val="Normalny"/>
    <w:uiPriority w:val="34"/>
    <w:qFormat/>
    <w:rsid w:val="000518BF"/>
    <w:pPr>
      <w:spacing w:after="0" w:line="240" w:lineRule="auto"/>
      <w:ind w:left="720"/>
      <w:contextualSpacing/>
    </w:pPr>
    <w:rPr>
      <w:rFonts w:ascii="Times New Roman" w:eastAsia="Times New Roman" w:hAnsi="Times New Roman" w:cs="Times New Roman"/>
      <w:sz w:val="20"/>
      <w:szCs w:val="20"/>
      <w:lang w:eastAsia="pl-PL"/>
    </w:rPr>
  </w:style>
  <w:style w:type="paragraph" w:customStyle="1" w:styleId="Default">
    <w:name w:val="Default"/>
    <w:rsid w:val="00D15E5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520639">
      <w:bodyDiv w:val="1"/>
      <w:marLeft w:val="0"/>
      <w:marRight w:val="0"/>
      <w:marTop w:val="0"/>
      <w:marBottom w:val="0"/>
      <w:divBdr>
        <w:top w:val="none" w:sz="0" w:space="0" w:color="auto"/>
        <w:left w:val="none" w:sz="0" w:space="0" w:color="auto"/>
        <w:bottom w:val="none" w:sz="0" w:space="0" w:color="auto"/>
        <w:right w:val="none" w:sz="0" w:space="0" w:color="auto"/>
      </w:divBdr>
      <w:divsChild>
        <w:div w:id="1471560694">
          <w:marLeft w:val="0"/>
          <w:marRight w:val="0"/>
          <w:marTop w:val="0"/>
          <w:marBottom w:val="0"/>
          <w:divBdr>
            <w:top w:val="none" w:sz="0" w:space="0" w:color="auto"/>
            <w:left w:val="none" w:sz="0" w:space="0" w:color="auto"/>
            <w:bottom w:val="none" w:sz="0" w:space="0" w:color="auto"/>
            <w:right w:val="none" w:sz="0" w:space="0" w:color="auto"/>
          </w:divBdr>
          <w:divsChild>
            <w:div w:id="1963341343">
              <w:marLeft w:val="0"/>
              <w:marRight w:val="0"/>
              <w:marTop w:val="0"/>
              <w:marBottom w:val="0"/>
              <w:divBdr>
                <w:top w:val="none" w:sz="0" w:space="0" w:color="auto"/>
                <w:left w:val="none" w:sz="0" w:space="0" w:color="auto"/>
                <w:bottom w:val="none" w:sz="0" w:space="0" w:color="auto"/>
                <w:right w:val="none" w:sz="0" w:space="0" w:color="auto"/>
              </w:divBdr>
              <w:divsChild>
                <w:div w:id="52387903">
                  <w:marLeft w:val="0"/>
                  <w:marRight w:val="0"/>
                  <w:marTop w:val="0"/>
                  <w:marBottom w:val="0"/>
                  <w:divBdr>
                    <w:top w:val="none" w:sz="0" w:space="0" w:color="auto"/>
                    <w:left w:val="none" w:sz="0" w:space="0" w:color="auto"/>
                    <w:bottom w:val="none" w:sz="0" w:space="0" w:color="auto"/>
                    <w:right w:val="none" w:sz="0" w:space="0" w:color="auto"/>
                  </w:divBdr>
                  <w:divsChild>
                    <w:div w:id="75563972">
                      <w:marLeft w:val="0"/>
                      <w:marRight w:val="0"/>
                      <w:marTop w:val="0"/>
                      <w:marBottom w:val="0"/>
                      <w:divBdr>
                        <w:top w:val="none" w:sz="0" w:space="0" w:color="auto"/>
                        <w:left w:val="none" w:sz="0" w:space="0" w:color="auto"/>
                        <w:bottom w:val="none" w:sz="0" w:space="0" w:color="auto"/>
                        <w:right w:val="none" w:sz="0" w:space="0" w:color="auto"/>
                      </w:divBdr>
                      <w:divsChild>
                        <w:div w:id="541595666">
                          <w:marLeft w:val="0"/>
                          <w:marRight w:val="0"/>
                          <w:marTop w:val="0"/>
                          <w:marBottom w:val="0"/>
                          <w:divBdr>
                            <w:top w:val="none" w:sz="0" w:space="0" w:color="auto"/>
                            <w:left w:val="none" w:sz="0" w:space="0" w:color="auto"/>
                            <w:bottom w:val="none" w:sz="0" w:space="0" w:color="auto"/>
                            <w:right w:val="none" w:sz="0" w:space="0" w:color="auto"/>
                          </w:divBdr>
                          <w:divsChild>
                            <w:div w:id="91655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7437789">
          <w:marLeft w:val="0"/>
          <w:marRight w:val="0"/>
          <w:marTop w:val="0"/>
          <w:marBottom w:val="0"/>
          <w:divBdr>
            <w:top w:val="none" w:sz="0" w:space="0" w:color="auto"/>
            <w:left w:val="none" w:sz="0" w:space="0" w:color="auto"/>
            <w:bottom w:val="none" w:sz="0" w:space="0" w:color="auto"/>
            <w:right w:val="none" w:sz="0" w:space="0" w:color="auto"/>
          </w:divBdr>
          <w:divsChild>
            <w:div w:id="13116059">
              <w:marLeft w:val="0"/>
              <w:marRight w:val="0"/>
              <w:marTop w:val="0"/>
              <w:marBottom w:val="0"/>
              <w:divBdr>
                <w:top w:val="none" w:sz="0" w:space="0" w:color="auto"/>
                <w:left w:val="none" w:sz="0" w:space="0" w:color="auto"/>
                <w:bottom w:val="none" w:sz="0" w:space="0" w:color="auto"/>
                <w:right w:val="none" w:sz="0" w:space="0" w:color="auto"/>
              </w:divBdr>
              <w:divsChild>
                <w:div w:id="152575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515068">
      <w:bodyDiv w:val="1"/>
      <w:marLeft w:val="0"/>
      <w:marRight w:val="0"/>
      <w:marTop w:val="0"/>
      <w:marBottom w:val="0"/>
      <w:divBdr>
        <w:top w:val="none" w:sz="0" w:space="0" w:color="auto"/>
        <w:left w:val="none" w:sz="0" w:space="0" w:color="auto"/>
        <w:bottom w:val="none" w:sz="0" w:space="0" w:color="auto"/>
        <w:right w:val="none" w:sz="0" w:space="0" w:color="auto"/>
      </w:divBdr>
    </w:div>
    <w:div w:id="895506280">
      <w:bodyDiv w:val="1"/>
      <w:marLeft w:val="0"/>
      <w:marRight w:val="0"/>
      <w:marTop w:val="0"/>
      <w:marBottom w:val="0"/>
      <w:divBdr>
        <w:top w:val="none" w:sz="0" w:space="0" w:color="auto"/>
        <w:left w:val="none" w:sz="0" w:space="0" w:color="auto"/>
        <w:bottom w:val="none" w:sz="0" w:space="0" w:color="auto"/>
        <w:right w:val="none" w:sz="0" w:space="0" w:color="auto"/>
      </w:divBdr>
    </w:div>
    <w:div w:id="943613358">
      <w:bodyDiv w:val="1"/>
      <w:marLeft w:val="0"/>
      <w:marRight w:val="0"/>
      <w:marTop w:val="0"/>
      <w:marBottom w:val="0"/>
      <w:divBdr>
        <w:top w:val="none" w:sz="0" w:space="0" w:color="auto"/>
        <w:left w:val="none" w:sz="0" w:space="0" w:color="auto"/>
        <w:bottom w:val="none" w:sz="0" w:space="0" w:color="auto"/>
        <w:right w:val="none" w:sz="0" w:space="0" w:color="auto"/>
      </w:divBdr>
    </w:div>
    <w:div w:id="974717675">
      <w:bodyDiv w:val="1"/>
      <w:marLeft w:val="0"/>
      <w:marRight w:val="0"/>
      <w:marTop w:val="0"/>
      <w:marBottom w:val="0"/>
      <w:divBdr>
        <w:top w:val="none" w:sz="0" w:space="0" w:color="auto"/>
        <w:left w:val="none" w:sz="0" w:space="0" w:color="auto"/>
        <w:bottom w:val="none" w:sz="0" w:space="0" w:color="auto"/>
        <w:right w:val="none" w:sz="0" w:space="0" w:color="auto"/>
      </w:divBdr>
      <w:divsChild>
        <w:div w:id="1844975446">
          <w:marLeft w:val="-225"/>
          <w:marRight w:val="-225"/>
          <w:marTop w:val="0"/>
          <w:marBottom w:val="0"/>
          <w:divBdr>
            <w:top w:val="none" w:sz="0" w:space="0" w:color="auto"/>
            <w:left w:val="none" w:sz="0" w:space="0" w:color="auto"/>
            <w:bottom w:val="none" w:sz="0" w:space="0" w:color="auto"/>
            <w:right w:val="none" w:sz="0" w:space="0" w:color="auto"/>
          </w:divBdr>
          <w:divsChild>
            <w:div w:id="399717302">
              <w:marLeft w:val="0"/>
              <w:marRight w:val="0"/>
              <w:marTop w:val="0"/>
              <w:marBottom w:val="0"/>
              <w:divBdr>
                <w:top w:val="none" w:sz="0" w:space="0" w:color="auto"/>
                <w:left w:val="none" w:sz="0" w:space="0" w:color="auto"/>
                <w:bottom w:val="none" w:sz="0" w:space="0" w:color="auto"/>
                <w:right w:val="none" w:sz="0" w:space="0" w:color="auto"/>
              </w:divBdr>
              <w:divsChild>
                <w:div w:id="138726664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022512602">
      <w:bodyDiv w:val="1"/>
      <w:marLeft w:val="0"/>
      <w:marRight w:val="0"/>
      <w:marTop w:val="0"/>
      <w:marBottom w:val="0"/>
      <w:divBdr>
        <w:top w:val="none" w:sz="0" w:space="0" w:color="auto"/>
        <w:left w:val="none" w:sz="0" w:space="0" w:color="auto"/>
        <w:bottom w:val="none" w:sz="0" w:space="0" w:color="auto"/>
        <w:right w:val="none" w:sz="0" w:space="0" w:color="auto"/>
      </w:divBdr>
    </w:div>
    <w:div w:id="1160657366">
      <w:bodyDiv w:val="1"/>
      <w:marLeft w:val="0"/>
      <w:marRight w:val="0"/>
      <w:marTop w:val="0"/>
      <w:marBottom w:val="0"/>
      <w:divBdr>
        <w:top w:val="none" w:sz="0" w:space="0" w:color="auto"/>
        <w:left w:val="none" w:sz="0" w:space="0" w:color="auto"/>
        <w:bottom w:val="none" w:sz="0" w:space="0" w:color="auto"/>
        <w:right w:val="none" w:sz="0" w:space="0" w:color="auto"/>
      </w:divBdr>
      <w:divsChild>
        <w:div w:id="1904290891">
          <w:marLeft w:val="0"/>
          <w:marRight w:val="0"/>
          <w:marTop w:val="0"/>
          <w:marBottom w:val="0"/>
          <w:divBdr>
            <w:top w:val="none" w:sz="0" w:space="0" w:color="auto"/>
            <w:left w:val="none" w:sz="0" w:space="0" w:color="auto"/>
            <w:bottom w:val="none" w:sz="0" w:space="0" w:color="auto"/>
            <w:right w:val="none" w:sz="0" w:space="0" w:color="auto"/>
          </w:divBdr>
          <w:divsChild>
            <w:div w:id="7440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263844">
      <w:bodyDiv w:val="1"/>
      <w:marLeft w:val="0"/>
      <w:marRight w:val="0"/>
      <w:marTop w:val="0"/>
      <w:marBottom w:val="0"/>
      <w:divBdr>
        <w:top w:val="none" w:sz="0" w:space="0" w:color="auto"/>
        <w:left w:val="none" w:sz="0" w:space="0" w:color="auto"/>
        <w:bottom w:val="none" w:sz="0" w:space="0" w:color="auto"/>
        <w:right w:val="none" w:sz="0" w:space="0" w:color="auto"/>
      </w:divBdr>
    </w:div>
    <w:div w:id="1850833625">
      <w:bodyDiv w:val="1"/>
      <w:marLeft w:val="0"/>
      <w:marRight w:val="0"/>
      <w:marTop w:val="0"/>
      <w:marBottom w:val="0"/>
      <w:divBdr>
        <w:top w:val="none" w:sz="0" w:space="0" w:color="auto"/>
        <w:left w:val="none" w:sz="0" w:space="0" w:color="auto"/>
        <w:bottom w:val="none" w:sz="0" w:space="0" w:color="auto"/>
        <w:right w:val="none" w:sz="0" w:space="0" w:color="auto"/>
      </w:divBdr>
    </w:div>
    <w:div w:id="1946110773">
      <w:bodyDiv w:val="1"/>
      <w:marLeft w:val="0"/>
      <w:marRight w:val="0"/>
      <w:marTop w:val="0"/>
      <w:marBottom w:val="0"/>
      <w:divBdr>
        <w:top w:val="none" w:sz="0" w:space="0" w:color="auto"/>
        <w:left w:val="none" w:sz="0" w:space="0" w:color="auto"/>
        <w:bottom w:val="none" w:sz="0" w:space="0" w:color="auto"/>
        <w:right w:val="none" w:sz="0" w:space="0" w:color="auto"/>
      </w:divBdr>
      <w:divsChild>
        <w:div w:id="355733007">
          <w:marLeft w:val="0"/>
          <w:marRight w:val="0"/>
          <w:marTop w:val="0"/>
          <w:marBottom w:val="0"/>
          <w:divBdr>
            <w:top w:val="none" w:sz="0" w:space="0" w:color="auto"/>
            <w:left w:val="none" w:sz="0" w:space="0" w:color="auto"/>
            <w:bottom w:val="none" w:sz="0" w:space="0" w:color="auto"/>
            <w:right w:val="none" w:sz="0" w:space="0" w:color="auto"/>
          </w:divBdr>
          <w:divsChild>
            <w:div w:id="1941185102">
              <w:marLeft w:val="0"/>
              <w:marRight w:val="0"/>
              <w:marTop w:val="0"/>
              <w:marBottom w:val="0"/>
              <w:divBdr>
                <w:top w:val="none" w:sz="0" w:space="0" w:color="auto"/>
                <w:left w:val="none" w:sz="0" w:space="0" w:color="auto"/>
                <w:bottom w:val="none" w:sz="0" w:space="0" w:color="auto"/>
                <w:right w:val="none" w:sz="0" w:space="0" w:color="auto"/>
              </w:divBdr>
              <w:divsChild>
                <w:div w:id="2006784128">
                  <w:marLeft w:val="0"/>
                  <w:marRight w:val="0"/>
                  <w:marTop w:val="0"/>
                  <w:marBottom w:val="0"/>
                  <w:divBdr>
                    <w:top w:val="none" w:sz="0" w:space="0" w:color="auto"/>
                    <w:left w:val="none" w:sz="0" w:space="0" w:color="auto"/>
                    <w:bottom w:val="none" w:sz="0" w:space="0" w:color="auto"/>
                    <w:right w:val="none" w:sz="0" w:space="0" w:color="auto"/>
                  </w:divBdr>
                  <w:divsChild>
                    <w:div w:id="172114908">
                      <w:marLeft w:val="0"/>
                      <w:marRight w:val="0"/>
                      <w:marTop w:val="0"/>
                      <w:marBottom w:val="0"/>
                      <w:divBdr>
                        <w:top w:val="none" w:sz="0" w:space="0" w:color="auto"/>
                        <w:left w:val="none" w:sz="0" w:space="0" w:color="auto"/>
                        <w:bottom w:val="none" w:sz="0" w:space="0" w:color="auto"/>
                        <w:right w:val="none" w:sz="0" w:space="0" w:color="auto"/>
                      </w:divBdr>
                      <w:divsChild>
                        <w:div w:id="495997374">
                          <w:marLeft w:val="0"/>
                          <w:marRight w:val="0"/>
                          <w:marTop w:val="0"/>
                          <w:marBottom w:val="0"/>
                          <w:divBdr>
                            <w:top w:val="none" w:sz="0" w:space="0" w:color="auto"/>
                            <w:left w:val="none" w:sz="0" w:space="0" w:color="auto"/>
                            <w:bottom w:val="none" w:sz="0" w:space="0" w:color="auto"/>
                            <w:right w:val="none" w:sz="0" w:space="0" w:color="auto"/>
                          </w:divBdr>
                          <w:divsChild>
                            <w:div w:id="138185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1203</Words>
  <Characters>7222</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Pracownik</dc:creator>
  <cp:lastModifiedBy>DZP</cp:lastModifiedBy>
  <cp:revision>5</cp:revision>
  <cp:lastPrinted>2025-07-25T05:28:00Z</cp:lastPrinted>
  <dcterms:created xsi:type="dcterms:W3CDTF">2025-07-28T04:57:00Z</dcterms:created>
  <dcterms:modified xsi:type="dcterms:W3CDTF">2025-07-28T08:17:00Z</dcterms:modified>
</cp:coreProperties>
</file>