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BF" w:rsidRPr="00C703EF" w:rsidRDefault="00F82DBF" w:rsidP="00F82DBF">
      <w:pPr>
        <w:rPr>
          <w:sz w:val="22"/>
          <w:szCs w:val="22"/>
        </w:rPr>
      </w:pPr>
      <w:r w:rsidRPr="00C703EF">
        <w:rPr>
          <w:sz w:val="22"/>
          <w:szCs w:val="22"/>
        </w:rPr>
        <w:t xml:space="preserve">                                                                       </w:t>
      </w:r>
    </w:p>
    <w:p w:rsidR="00AF55D0" w:rsidRPr="00C703EF" w:rsidRDefault="00F82DBF" w:rsidP="00F82DBF">
      <w:pPr>
        <w:rPr>
          <w:sz w:val="22"/>
          <w:szCs w:val="22"/>
        </w:rPr>
      </w:pPr>
      <w:r w:rsidRPr="00C703EF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C703EF" w:rsidRPr="00C703EF">
        <w:rPr>
          <w:sz w:val="22"/>
          <w:szCs w:val="22"/>
        </w:rPr>
        <w:t>Załącznik nr 3 do SWZ</w:t>
      </w:r>
    </w:p>
    <w:p w:rsidR="00B27FC4" w:rsidRPr="00C703EF" w:rsidRDefault="00B27FC4" w:rsidP="00B27FC4">
      <w:pPr>
        <w:jc w:val="center"/>
        <w:rPr>
          <w:b/>
          <w:caps/>
          <w:sz w:val="22"/>
          <w:szCs w:val="22"/>
        </w:rPr>
      </w:pPr>
      <w:r w:rsidRPr="00C703EF">
        <w:rPr>
          <w:b/>
          <w:caps/>
          <w:sz w:val="22"/>
          <w:szCs w:val="22"/>
        </w:rPr>
        <w:t>Opis  PRZEDMIOTU ZAMÓWIENIA</w:t>
      </w:r>
    </w:p>
    <w:p w:rsidR="00B97128" w:rsidRPr="00C703EF" w:rsidRDefault="00B97128" w:rsidP="00B27FC4">
      <w:pPr>
        <w:jc w:val="center"/>
        <w:rPr>
          <w:b/>
          <w:caps/>
          <w:sz w:val="22"/>
          <w:szCs w:val="22"/>
        </w:rPr>
      </w:pPr>
      <w:r w:rsidRPr="00C703EF">
        <w:rPr>
          <w:b/>
          <w:caps/>
          <w:sz w:val="22"/>
          <w:szCs w:val="22"/>
        </w:rPr>
        <w:t>WYDZIAŁ TECHNICZNY</w:t>
      </w:r>
    </w:p>
    <w:p w:rsidR="00B27FC4" w:rsidRPr="00C703EF" w:rsidRDefault="00B27FC4" w:rsidP="00B27FC4">
      <w:pPr>
        <w:rPr>
          <w:b/>
          <w:sz w:val="22"/>
          <w:szCs w:val="22"/>
        </w:rPr>
      </w:pPr>
    </w:p>
    <w:tbl>
      <w:tblPr>
        <w:tblW w:w="901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898"/>
      </w:tblGrid>
      <w:tr w:rsidR="00B27FC4" w:rsidRPr="00C703EF" w:rsidTr="00C703EF">
        <w:trPr>
          <w:cantSplit/>
          <w:trHeight w:val="411"/>
        </w:trPr>
        <w:tc>
          <w:tcPr>
            <w:tcW w:w="567" w:type="dxa"/>
            <w:vAlign w:val="center"/>
          </w:tcPr>
          <w:p w:rsidR="00B27FC4" w:rsidRPr="00C703EF" w:rsidRDefault="00B27FC4" w:rsidP="006E4B88">
            <w:pPr>
              <w:rPr>
                <w:b/>
                <w:bCs/>
                <w:sz w:val="22"/>
                <w:szCs w:val="22"/>
              </w:rPr>
            </w:pPr>
            <w:r w:rsidRPr="00C703E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vAlign w:val="center"/>
          </w:tcPr>
          <w:p w:rsidR="00B27FC4" w:rsidRPr="00C703EF" w:rsidRDefault="00B27FC4" w:rsidP="006E4B88">
            <w:pPr>
              <w:rPr>
                <w:b/>
                <w:bCs/>
                <w:sz w:val="22"/>
                <w:szCs w:val="22"/>
              </w:rPr>
            </w:pPr>
            <w:r w:rsidRPr="00C703EF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5898" w:type="dxa"/>
            <w:vAlign w:val="center"/>
          </w:tcPr>
          <w:p w:rsidR="00B27FC4" w:rsidRPr="00C703EF" w:rsidRDefault="00B27FC4" w:rsidP="006E4B88">
            <w:pPr>
              <w:jc w:val="center"/>
              <w:rPr>
                <w:b/>
                <w:bCs/>
                <w:sz w:val="22"/>
                <w:szCs w:val="22"/>
              </w:rPr>
            </w:pPr>
            <w:r w:rsidRPr="00C703EF">
              <w:rPr>
                <w:b/>
                <w:bCs/>
                <w:sz w:val="22"/>
                <w:szCs w:val="22"/>
              </w:rPr>
              <w:t>Dane</w:t>
            </w:r>
          </w:p>
        </w:tc>
      </w:tr>
      <w:tr w:rsidR="00B27FC4" w:rsidRPr="00C703EF" w:rsidTr="00C703EF">
        <w:trPr>
          <w:cantSplit/>
          <w:trHeight w:val="715"/>
        </w:trPr>
        <w:tc>
          <w:tcPr>
            <w:tcW w:w="567" w:type="dxa"/>
            <w:vAlign w:val="center"/>
          </w:tcPr>
          <w:p w:rsidR="00B27FC4" w:rsidRPr="00C703EF" w:rsidRDefault="00B27FC4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:rsidR="00B27FC4" w:rsidRPr="00C703EF" w:rsidRDefault="00B27FC4" w:rsidP="006E4B8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 xml:space="preserve">Przedmiot zamówienia </w:t>
            </w:r>
          </w:p>
        </w:tc>
        <w:tc>
          <w:tcPr>
            <w:tcW w:w="5898" w:type="dxa"/>
            <w:vAlign w:val="center"/>
          </w:tcPr>
          <w:p w:rsidR="00B27FC4" w:rsidRPr="00C703EF" w:rsidRDefault="00020193" w:rsidP="008B534E">
            <w:pPr>
              <w:jc w:val="center"/>
              <w:rPr>
                <w:b/>
                <w:sz w:val="22"/>
                <w:szCs w:val="22"/>
              </w:rPr>
            </w:pPr>
            <w:r w:rsidRPr="00C703EF">
              <w:rPr>
                <w:b/>
                <w:sz w:val="22"/>
                <w:szCs w:val="22"/>
              </w:rPr>
              <w:t>Dostawa akumulatorów ołowiowo – ro</w:t>
            </w:r>
            <w:r w:rsidR="00842F13" w:rsidRPr="00C703EF">
              <w:rPr>
                <w:b/>
                <w:sz w:val="22"/>
                <w:szCs w:val="22"/>
              </w:rPr>
              <w:t>zruchowych do  pojazdów kołowych</w:t>
            </w:r>
            <w:r w:rsidR="008B534E" w:rsidRPr="00C703E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7FC4" w:rsidRPr="00C703EF" w:rsidTr="00C703EF">
        <w:trPr>
          <w:cantSplit/>
          <w:trHeight w:val="555"/>
        </w:trPr>
        <w:tc>
          <w:tcPr>
            <w:tcW w:w="567" w:type="dxa"/>
            <w:vAlign w:val="center"/>
          </w:tcPr>
          <w:p w:rsidR="00B27FC4" w:rsidRPr="00C703EF" w:rsidRDefault="00B27FC4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:rsidR="00B27FC4" w:rsidRPr="00C703EF" w:rsidRDefault="00B27FC4" w:rsidP="006E4B8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Ilość</w:t>
            </w:r>
          </w:p>
        </w:tc>
        <w:tc>
          <w:tcPr>
            <w:tcW w:w="5898" w:type="dxa"/>
            <w:vAlign w:val="center"/>
          </w:tcPr>
          <w:p w:rsidR="00B27FC4" w:rsidRPr="00C703EF" w:rsidRDefault="00B96BBD" w:rsidP="006614ED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 xml:space="preserve">Zadań </w:t>
            </w:r>
            <w:r w:rsidR="0014758A" w:rsidRPr="00C703EF">
              <w:rPr>
                <w:sz w:val="22"/>
                <w:szCs w:val="22"/>
              </w:rPr>
              <w:t>6</w:t>
            </w:r>
            <w:r w:rsidR="00B97128" w:rsidRPr="00C703EF">
              <w:rPr>
                <w:sz w:val="22"/>
                <w:szCs w:val="22"/>
              </w:rPr>
              <w:t xml:space="preserve">  - pozycje według opisu poniżej </w:t>
            </w:r>
          </w:p>
        </w:tc>
      </w:tr>
      <w:tr w:rsidR="00B27FC4" w:rsidRPr="00C703EF" w:rsidTr="00C703EF">
        <w:trPr>
          <w:cantSplit/>
          <w:trHeight w:val="691"/>
        </w:trPr>
        <w:tc>
          <w:tcPr>
            <w:tcW w:w="567" w:type="dxa"/>
            <w:vAlign w:val="center"/>
          </w:tcPr>
          <w:p w:rsidR="00B27FC4" w:rsidRPr="00C703EF" w:rsidRDefault="00B27FC4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:rsidR="00B27FC4" w:rsidRPr="00C703EF" w:rsidRDefault="00DB0B80" w:rsidP="006E4B88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CPV</w:t>
            </w:r>
          </w:p>
        </w:tc>
        <w:tc>
          <w:tcPr>
            <w:tcW w:w="5898" w:type="dxa"/>
            <w:vAlign w:val="center"/>
          </w:tcPr>
          <w:p w:rsidR="001E022D" w:rsidRPr="00C703EF" w:rsidRDefault="00020193" w:rsidP="006E4B88">
            <w:pPr>
              <w:jc w:val="center"/>
              <w:rPr>
                <w:b/>
                <w:sz w:val="22"/>
                <w:szCs w:val="22"/>
              </w:rPr>
            </w:pPr>
            <w:r w:rsidRPr="00C703EF">
              <w:rPr>
                <w:b/>
                <w:sz w:val="22"/>
                <w:szCs w:val="22"/>
              </w:rPr>
              <w:t>314 00000-0</w:t>
            </w:r>
            <w:r w:rsidR="004C3299" w:rsidRPr="00C703EF">
              <w:rPr>
                <w:b/>
                <w:sz w:val="22"/>
                <w:szCs w:val="22"/>
              </w:rPr>
              <w:t xml:space="preserve"> Akumulatory, komory galwaniczne i baterie galwaniczne</w:t>
            </w:r>
          </w:p>
        </w:tc>
      </w:tr>
      <w:tr w:rsidR="000F1DB6" w:rsidRPr="00C703EF" w:rsidTr="00C703EF">
        <w:trPr>
          <w:cantSplit/>
          <w:trHeight w:val="560"/>
        </w:trPr>
        <w:tc>
          <w:tcPr>
            <w:tcW w:w="567" w:type="dxa"/>
            <w:vAlign w:val="center"/>
          </w:tcPr>
          <w:p w:rsidR="000F1DB6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:rsidR="000F1DB6" w:rsidRPr="00C703EF" w:rsidRDefault="000F1DB6" w:rsidP="006E4B88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 xml:space="preserve">Miejsce dostawy </w:t>
            </w:r>
          </w:p>
        </w:tc>
        <w:tc>
          <w:tcPr>
            <w:tcW w:w="5898" w:type="dxa"/>
            <w:vAlign w:val="center"/>
          </w:tcPr>
          <w:p w:rsidR="000F1DB6" w:rsidRPr="00C703EF" w:rsidRDefault="000F1DB6" w:rsidP="00C703EF">
            <w:pPr>
              <w:jc w:val="center"/>
              <w:rPr>
                <w:b/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Skład Stężyca</w:t>
            </w:r>
            <w:r w:rsidR="00C703EF">
              <w:rPr>
                <w:sz w:val="22"/>
                <w:szCs w:val="22"/>
              </w:rPr>
              <w:t xml:space="preserve">, </w:t>
            </w:r>
            <w:r w:rsidRPr="00C703EF">
              <w:rPr>
                <w:sz w:val="22"/>
                <w:szCs w:val="22"/>
              </w:rPr>
              <w:t xml:space="preserve"> 08-540 Stężyca</w:t>
            </w:r>
            <w:r w:rsidR="00C703EF">
              <w:rPr>
                <w:sz w:val="22"/>
                <w:szCs w:val="22"/>
              </w:rPr>
              <w:t xml:space="preserve">, </w:t>
            </w:r>
            <w:r w:rsidRPr="00C703EF">
              <w:rPr>
                <w:sz w:val="22"/>
                <w:szCs w:val="22"/>
              </w:rPr>
              <w:t>ul. Dęblińska 149</w:t>
            </w:r>
          </w:p>
        </w:tc>
      </w:tr>
      <w:tr w:rsidR="00B27FC4" w:rsidRPr="00C703EF" w:rsidTr="00C703EF">
        <w:trPr>
          <w:cantSplit/>
          <w:trHeight w:val="41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27FC4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5</w:t>
            </w:r>
            <w:r w:rsidR="00B27FC4" w:rsidRPr="00C703E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27FC4" w:rsidRPr="00C703EF" w:rsidRDefault="00DB0B80" w:rsidP="006E4B88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Inne normy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B27FC4" w:rsidRPr="00C703EF" w:rsidRDefault="00B97128" w:rsidP="006E4B88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nie</w:t>
            </w:r>
          </w:p>
        </w:tc>
      </w:tr>
      <w:tr w:rsidR="00DB0B80" w:rsidRPr="00C703EF" w:rsidTr="00C703EF">
        <w:trPr>
          <w:cantSplit/>
          <w:trHeight w:val="4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0B80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6</w:t>
            </w:r>
            <w:r w:rsidR="00DB0B80" w:rsidRPr="00C703E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0B80" w:rsidRPr="00C703EF" w:rsidRDefault="00DB0B80" w:rsidP="0007347A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Oferty częściowe (zadania)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DB0B80" w:rsidRPr="00C703EF" w:rsidRDefault="00B97128" w:rsidP="006E4B88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tak</w:t>
            </w:r>
          </w:p>
        </w:tc>
      </w:tr>
      <w:tr w:rsidR="00DB0B80" w:rsidRPr="00C703EF" w:rsidTr="00C703EF">
        <w:trPr>
          <w:cantSplit/>
          <w:trHeight w:val="4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0B80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7</w:t>
            </w:r>
            <w:r w:rsidR="00DB0B80" w:rsidRPr="00C703E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0B80" w:rsidRPr="00C703EF" w:rsidRDefault="00DB0B80" w:rsidP="0007347A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Oferty równoważne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DB0B80" w:rsidRPr="00C703EF" w:rsidRDefault="00110D26" w:rsidP="006E4B88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tak</w:t>
            </w:r>
          </w:p>
        </w:tc>
      </w:tr>
      <w:tr w:rsidR="00DB0B80" w:rsidRPr="00C703EF" w:rsidTr="00C703EF">
        <w:trPr>
          <w:cantSplit/>
          <w:trHeight w:val="41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0B80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8</w:t>
            </w:r>
            <w:r w:rsidR="00DB0B80" w:rsidRPr="00C703E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0B80" w:rsidRPr="00C703EF" w:rsidRDefault="00DB0B80" w:rsidP="0007347A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Wymogi techniczne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DB0B80" w:rsidRPr="00C703EF" w:rsidRDefault="00B97128" w:rsidP="006E4B88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Zgodnie z opisem</w:t>
            </w:r>
          </w:p>
        </w:tc>
      </w:tr>
      <w:tr w:rsidR="00DB0B80" w:rsidRPr="00C703EF" w:rsidTr="00C703EF">
        <w:trPr>
          <w:cantSplit/>
          <w:trHeight w:val="42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0B80" w:rsidRPr="00C703EF" w:rsidRDefault="000F1DB6" w:rsidP="006E4B88">
            <w:pPr>
              <w:jc w:val="right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9</w:t>
            </w:r>
            <w:r w:rsidR="00DB0B80" w:rsidRPr="00C703E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0B80" w:rsidRPr="00C703EF" w:rsidRDefault="00DB0B80" w:rsidP="0007347A">
            <w:pPr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Usługi dodatkowe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DB0B80" w:rsidRPr="00C703EF" w:rsidRDefault="00B97128" w:rsidP="006E4B88">
            <w:pPr>
              <w:jc w:val="center"/>
              <w:rPr>
                <w:sz w:val="22"/>
                <w:szCs w:val="22"/>
              </w:rPr>
            </w:pPr>
            <w:r w:rsidRPr="00C703EF">
              <w:rPr>
                <w:sz w:val="22"/>
                <w:szCs w:val="22"/>
              </w:rPr>
              <w:t>nie</w:t>
            </w:r>
          </w:p>
        </w:tc>
      </w:tr>
    </w:tbl>
    <w:p w:rsidR="00E35CCC" w:rsidRPr="00C703EF" w:rsidRDefault="00E35CCC" w:rsidP="00B9712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rPr>
          <w:b w:val="0"/>
          <w:sz w:val="22"/>
          <w:szCs w:val="22"/>
        </w:rPr>
      </w:pPr>
    </w:p>
    <w:p w:rsidR="00E35CCC" w:rsidRPr="00C703EF" w:rsidRDefault="00020193" w:rsidP="00E35CCC">
      <w:pPr>
        <w:pStyle w:val="Tekstpodstawowywcity2"/>
        <w:ind w:left="0"/>
        <w:jc w:val="center"/>
        <w:rPr>
          <w:b/>
          <w:sz w:val="22"/>
          <w:szCs w:val="22"/>
        </w:rPr>
      </w:pPr>
      <w:r w:rsidRPr="00C703EF">
        <w:rPr>
          <w:b/>
          <w:sz w:val="22"/>
          <w:szCs w:val="22"/>
        </w:rPr>
        <w:t xml:space="preserve">Dostawa akumulatorów ołowiowo – rozruchowych </w:t>
      </w:r>
      <w:r w:rsidR="003C04C1" w:rsidRPr="00C703EF">
        <w:rPr>
          <w:b/>
          <w:sz w:val="22"/>
          <w:szCs w:val="22"/>
        </w:rPr>
        <w:br/>
      </w:r>
      <w:r w:rsidRPr="00C703EF">
        <w:rPr>
          <w:b/>
          <w:sz w:val="22"/>
          <w:szCs w:val="22"/>
        </w:rPr>
        <w:t>do  pojazdów kołowych</w:t>
      </w:r>
      <w:r w:rsidR="00842F13" w:rsidRPr="00C703EF">
        <w:rPr>
          <w:b/>
          <w:sz w:val="22"/>
          <w:szCs w:val="22"/>
        </w:rPr>
        <w:t xml:space="preserve"> </w:t>
      </w:r>
    </w:p>
    <w:tbl>
      <w:tblPr>
        <w:tblW w:w="10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9948"/>
        <w:gridCol w:w="354"/>
      </w:tblGrid>
      <w:tr w:rsidR="00C976B9" w:rsidRPr="00C703EF" w:rsidTr="00457C84">
        <w:trPr>
          <w:gridBefore w:val="1"/>
          <w:wBefore w:w="29" w:type="dxa"/>
          <w:trHeight w:val="5354"/>
        </w:trPr>
        <w:tc>
          <w:tcPr>
            <w:tcW w:w="10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6B9" w:rsidRPr="00C703EF" w:rsidRDefault="00055521" w:rsidP="00C703EF">
            <w:pPr>
              <w:ind w:left="784"/>
              <w:rPr>
                <w:b/>
                <w:bCs/>
                <w:sz w:val="22"/>
                <w:szCs w:val="22"/>
              </w:rPr>
            </w:pPr>
            <w:r w:rsidRPr="00C703EF">
              <w:rPr>
                <w:b/>
                <w:bCs/>
                <w:sz w:val="22"/>
                <w:szCs w:val="22"/>
              </w:rPr>
              <w:t xml:space="preserve">DOSTAWA </w:t>
            </w:r>
            <w:r w:rsidR="00C976B9" w:rsidRPr="00C703EF">
              <w:rPr>
                <w:b/>
                <w:bCs/>
                <w:sz w:val="22"/>
                <w:szCs w:val="22"/>
              </w:rPr>
              <w:t xml:space="preserve">AKUMULATORÓW OŁOWIOWYCH </w:t>
            </w:r>
            <w:r w:rsidRPr="00C703EF">
              <w:rPr>
                <w:b/>
                <w:bCs/>
                <w:sz w:val="22"/>
                <w:szCs w:val="22"/>
              </w:rPr>
              <w:t xml:space="preserve">- </w:t>
            </w:r>
            <w:r w:rsidR="00C976B9" w:rsidRPr="00C703EF">
              <w:rPr>
                <w:b/>
                <w:bCs/>
                <w:sz w:val="22"/>
                <w:szCs w:val="22"/>
              </w:rPr>
              <w:t>RO</w:t>
            </w:r>
            <w:r w:rsidR="00FD09DE" w:rsidRPr="00C703EF">
              <w:rPr>
                <w:b/>
                <w:bCs/>
                <w:sz w:val="22"/>
                <w:szCs w:val="22"/>
              </w:rPr>
              <w:t>ZRUCHOWYCH  W 2025</w:t>
            </w:r>
            <w:r w:rsidR="007C2D05" w:rsidRPr="00C703EF">
              <w:rPr>
                <w:b/>
                <w:bCs/>
                <w:sz w:val="22"/>
                <w:szCs w:val="22"/>
              </w:rPr>
              <w:t xml:space="preserve"> ROKU.</w:t>
            </w:r>
          </w:p>
          <w:p w:rsidR="00AC2F3D" w:rsidRPr="00C703EF" w:rsidRDefault="00AC2F3D" w:rsidP="00C703EF">
            <w:pPr>
              <w:ind w:left="784"/>
              <w:rPr>
                <w:b/>
                <w:bCs/>
                <w:sz w:val="22"/>
                <w:szCs w:val="22"/>
              </w:rPr>
            </w:pPr>
          </w:p>
          <w:p w:rsidR="00AC2F3D" w:rsidRPr="00C703EF" w:rsidRDefault="00AC2F3D" w:rsidP="00C703EF">
            <w:pPr>
              <w:ind w:left="784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2373"/>
              <w:gridCol w:w="1404"/>
              <w:gridCol w:w="2382"/>
              <w:gridCol w:w="2027"/>
            </w:tblGrid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 xml:space="preserve">Numer </w:t>
                  </w:r>
                  <w:proofErr w:type="spellStart"/>
                  <w:r w:rsidRPr="00C703EF">
                    <w:rPr>
                      <w:b/>
                      <w:bCs/>
                      <w:sz w:val="22"/>
                      <w:szCs w:val="22"/>
                    </w:rPr>
                    <w:t>zadadania</w:t>
                  </w:r>
                  <w:proofErr w:type="spellEnd"/>
                </w:p>
              </w:tc>
              <w:tc>
                <w:tcPr>
                  <w:tcW w:w="3023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Ilości (</w:t>
                  </w:r>
                  <w:proofErr w:type="spellStart"/>
                  <w:r w:rsidRPr="00C703EF">
                    <w:rPr>
                      <w:b/>
                      <w:bCs/>
                      <w:sz w:val="22"/>
                      <w:szCs w:val="22"/>
                    </w:rPr>
                    <w:t>szt</w:t>
                  </w:r>
                  <w:proofErr w:type="spellEnd"/>
                  <w:r w:rsidRPr="00C703EF">
                    <w:rPr>
                      <w:b/>
                      <w:bCs/>
                      <w:sz w:val="22"/>
                      <w:szCs w:val="22"/>
                    </w:rPr>
                    <w:t>) gwarantowane</w:t>
                  </w:r>
                </w:p>
              </w:tc>
              <w:tc>
                <w:tcPr>
                  <w:tcW w:w="1743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Ilości (</w:t>
                  </w:r>
                  <w:proofErr w:type="spellStart"/>
                  <w:r w:rsidRPr="00C703EF">
                    <w:rPr>
                      <w:b/>
                      <w:bCs/>
                      <w:sz w:val="22"/>
                      <w:szCs w:val="22"/>
                    </w:rPr>
                    <w:t>szt</w:t>
                  </w:r>
                  <w:proofErr w:type="spellEnd"/>
                  <w:r w:rsidRPr="00C703EF">
                    <w:rPr>
                      <w:b/>
                      <w:bCs/>
                      <w:sz w:val="22"/>
                      <w:szCs w:val="22"/>
                    </w:rPr>
                    <w:t>) opcjonalne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23" w:type="dxa"/>
                </w:tcPr>
                <w:p w:rsidR="00C2684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 xml:space="preserve">12V 135/145Ah 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300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3" w:type="dxa"/>
                </w:tcPr>
                <w:p w:rsidR="00C2684E" w:rsidRPr="00C703EF" w:rsidRDefault="00EB0EA0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12V 165</w:t>
                  </w:r>
                  <w:r w:rsidR="00C2684E" w:rsidRPr="00C703EF">
                    <w:rPr>
                      <w:sz w:val="22"/>
                      <w:szCs w:val="22"/>
                    </w:rPr>
                    <w:t>/185Ah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300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3" w:type="dxa"/>
                </w:tcPr>
                <w:p w:rsidR="00C2684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12V 190/200Ah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23" w:type="dxa"/>
                </w:tcPr>
                <w:p w:rsidR="00C2684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12V 205/210Ah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250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3" w:type="dxa"/>
                </w:tcPr>
                <w:p w:rsidR="00C2684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12V 120/125Ah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350</w:t>
                  </w:r>
                </w:p>
              </w:tc>
            </w:tr>
            <w:tr w:rsidR="00FD09DE" w:rsidRPr="00C703EF" w:rsidTr="00FD09DE">
              <w:trPr>
                <w:trHeight w:val="409"/>
              </w:trPr>
              <w:tc>
                <w:tcPr>
                  <w:tcW w:w="553" w:type="dxa"/>
                </w:tcPr>
                <w:p w:rsidR="00FD09DE" w:rsidRPr="00C703EF" w:rsidRDefault="00E70C14" w:rsidP="00C703EF">
                  <w:pPr>
                    <w:ind w:left="7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703EF">
                    <w:rPr>
                      <w:b/>
                      <w:bCs/>
                      <w:sz w:val="22"/>
                      <w:szCs w:val="22"/>
                    </w:rPr>
                    <w:t>Zad.</w:t>
                  </w:r>
                  <w:r w:rsidR="00FD09DE" w:rsidRPr="00C703EF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023" w:type="dxa"/>
                </w:tcPr>
                <w:p w:rsidR="00C2684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12V 180/185Ah</w:t>
                  </w:r>
                </w:p>
                <w:p w:rsidR="00FD09DE" w:rsidRPr="00C703EF" w:rsidRDefault="00C2684E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bezobsługowy</w:t>
                  </w:r>
                </w:p>
              </w:tc>
              <w:tc>
                <w:tcPr>
                  <w:tcW w:w="617" w:type="dxa"/>
                </w:tcPr>
                <w:p w:rsidR="00FD09DE" w:rsidRPr="00C703EF" w:rsidRDefault="00FD09D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Szt</w:t>
                  </w:r>
                  <w:r w:rsidRPr="00C703EF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7" w:type="dxa"/>
                </w:tcPr>
                <w:p w:rsidR="00FD09DE" w:rsidRPr="00C703EF" w:rsidRDefault="00C2684E" w:rsidP="00C703EF">
                  <w:pPr>
                    <w:ind w:left="78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03EF">
                    <w:rPr>
                      <w:bCs/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743" w:type="dxa"/>
                </w:tcPr>
                <w:p w:rsidR="00FD09DE" w:rsidRPr="00C703EF" w:rsidRDefault="004B1647" w:rsidP="00C703EF">
                  <w:pPr>
                    <w:ind w:left="784"/>
                    <w:jc w:val="center"/>
                    <w:rPr>
                      <w:sz w:val="22"/>
                      <w:szCs w:val="22"/>
                    </w:rPr>
                  </w:pPr>
                  <w:r w:rsidRPr="00C703EF">
                    <w:rPr>
                      <w:sz w:val="22"/>
                      <w:szCs w:val="22"/>
                    </w:rPr>
                    <w:t>250</w:t>
                  </w:r>
                </w:p>
              </w:tc>
            </w:tr>
          </w:tbl>
          <w:p w:rsidR="00842F13" w:rsidRPr="00C703EF" w:rsidRDefault="00842F13" w:rsidP="00C703EF">
            <w:pPr>
              <w:ind w:left="784"/>
              <w:rPr>
                <w:b/>
                <w:bCs/>
                <w:sz w:val="22"/>
                <w:szCs w:val="22"/>
              </w:rPr>
            </w:pPr>
          </w:p>
        </w:tc>
      </w:tr>
      <w:tr w:rsidR="00404A7B" w:rsidRPr="00C703EF" w:rsidTr="00457C84">
        <w:trPr>
          <w:gridAfter w:val="1"/>
          <w:wAfter w:w="354" w:type="dxa"/>
          <w:trHeight w:val="138"/>
        </w:trPr>
        <w:tc>
          <w:tcPr>
            <w:tcW w:w="9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C703EF" w:rsidRDefault="00C703EF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04A7B" w:rsidRPr="00C703EF" w:rsidRDefault="00C976B9" w:rsidP="00C703EF">
            <w:pPr>
              <w:ind w:left="784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703EF">
              <w:rPr>
                <w:b/>
                <w:bCs/>
                <w:sz w:val="22"/>
                <w:szCs w:val="22"/>
                <w:u w:val="single"/>
              </w:rPr>
              <w:lastRenderedPageBreak/>
              <w:t>OPIS PRZEDMIOTU ZAMÓWIENIA</w:t>
            </w:r>
            <w:r w:rsidR="00D02AC5" w:rsidRPr="00C703E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447D73" w:rsidRPr="00C703EF" w:rsidRDefault="00447D73" w:rsidP="00AC2F3D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C703EF">
        <w:rPr>
          <w:rFonts w:ascii="Times New Roman" w:hAnsi="Times New Roman" w:cs="Times New Roman"/>
          <w:sz w:val="22"/>
          <w:szCs w:val="22"/>
        </w:rPr>
        <w:lastRenderedPageBreak/>
        <w:t>Akumulatory muszą być fabryczni</w:t>
      </w:r>
      <w:r w:rsidRPr="00C703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nowe, </w:t>
      </w:r>
      <w:r w:rsidR="00AC2F3D" w:rsidRPr="00C703EF">
        <w:rPr>
          <w:rFonts w:ascii="Times New Roman" w:hAnsi="Times New Roman" w:cs="Times New Roman"/>
          <w:sz w:val="22"/>
          <w:szCs w:val="22"/>
          <w:lang w:eastAsia="ar-SA"/>
        </w:rPr>
        <w:t xml:space="preserve">wyprodukowane nie </w:t>
      </w:r>
      <w:r w:rsidR="00D44E3D" w:rsidRPr="00C703EF">
        <w:rPr>
          <w:rFonts w:ascii="Times New Roman" w:hAnsi="Times New Roman" w:cs="Times New Roman"/>
          <w:sz w:val="22"/>
          <w:szCs w:val="22"/>
          <w:lang w:eastAsia="ar-SA"/>
        </w:rPr>
        <w:t xml:space="preserve">wcześniej niż w </w:t>
      </w:r>
      <w:r w:rsidR="00FD09DE" w:rsidRPr="00C703EF">
        <w:rPr>
          <w:rFonts w:ascii="Times New Roman" w:hAnsi="Times New Roman" w:cs="Times New Roman"/>
          <w:sz w:val="22"/>
          <w:szCs w:val="22"/>
          <w:lang w:eastAsia="ar-SA"/>
        </w:rPr>
        <w:t>IV kwartale 2024</w:t>
      </w:r>
      <w:r w:rsidR="00AC2F3D" w:rsidRPr="00C703EF">
        <w:rPr>
          <w:rFonts w:ascii="Times New Roman" w:hAnsi="Times New Roman" w:cs="Times New Roman"/>
          <w:sz w:val="22"/>
          <w:szCs w:val="22"/>
          <w:lang w:eastAsia="ar-SA"/>
        </w:rPr>
        <w:t xml:space="preserve"> roku </w:t>
      </w:r>
      <w:r w:rsidRPr="00C703EF">
        <w:rPr>
          <w:rFonts w:ascii="Times New Roman" w:hAnsi="Times New Roman" w:cs="Times New Roman"/>
          <w:color w:val="000000" w:themeColor="text1"/>
          <w:sz w:val="22"/>
          <w:szCs w:val="22"/>
        </w:rPr>
        <w:t>i być dostarczone w gatunku I-</w:t>
      </w:r>
      <w:proofErr w:type="spellStart"/>
      <w:r w:rsidRPr="00C703EF">
        <w:rPr>
          <w:rFonts w:ascii="Times New Roman" w:hAnsi="Times New Roman" w:cs="Times New Roman"/>
          <w:color w:val="000000" w:themeColor="text1"/>
          <w:sz w:val="22"/>
          <w:szCs w:val="22"/>
        </w:rPr>
        <w:t>ym</w:t>
      </w:r>
      <w:proofErr w:type="spellEnd"/>
      <w:r w:rsidRPr="00C703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447D73" w:rsidRPr="00C703EF" w:rsidRDefault="00447D73" w:rsidP="00447D73">
      <w:pPr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703EF">
        <w:rPr>
          <w:color w:val="000000" w:themeColor="text1"/>
          <w:sz w:val="22"/>
          <w:szCs w:val="22"/>
        </w:rPr>
        <w:t xml:space="preserve">Dostarczony przedmiot umowy musi być fabrycznie nowy, nieużywany, w I kategorii, spełniać wszystkie wymagania określone w załączniku nr </w:t>
      </w:r>
      <w:r w:rsidR="00E70C14" w:rsidRPr="00C703EF">
        <w:rPr>
          <w:color w:val="000000" w:themeColor="text1"/>
          <w:sz w:val="22"/>
          <w:szCs w:val="22"/>
        </w:rPr>
        <w:t>2</w:t>
      </w:r>
      <w:r w:rsidRPr="00C703EF">
        <w:rPr>
          <w:color w:val="000000" w:themeColor="text1"/>
          <w:sz w:val="22"/>
          <w:szCs w:val="22"/>
        </w:rPr>
        <w:t>, wyproduk</w:t>
      </w:r>
      <w:r w:rsidR="00B25D7B" w:rsidRPr="00C703EF">
        <w:rPr>
          <w:color w:val="000000" w:themeColor="text1"/>
          <w:sz w:val="22"/>
          <w:szCs w:val="22"/>
        </w:rPr>
        <w:t xml:space="preserve">owane nie wcześniej niż w </w:t>
      </w:r>
      <w:r w:rsidR="00E70C14" w:rsidRPr="00C703EF">
        <w:rPr>
          <w:color w:val="000000" w:themeColor="text1"/>
          <w:sz w:val="22"/>
          <w:szCs w:val="22"/>
        </w:rPr>
        <w:t xml:space="preserve">IV </w:t>
      </w:r>
      <w:r w:rsidR="009030DE" w:rsidRPr="00C703EF">
        <w:rPr>
          <w:color w:val="000000" w:themeColor="text1"/>
          <w:sz w:val="22"/>
          <w:szCs w:val="22"/>
        </w:rPr>
        <w:t>kwartale 202</w:t>
      </w:r>
      <w:r w:rsidR="00E70C14" w:rsidRPr="00C703EF">
        <w:rPr>
          <w:color w:val="000000" w:themeColor="text1"/>
          <w:sz w:val="22"/>
          <w:szCs w:val="22"/>
        </w:rPr>
        <w:t>4</w:t>
      </w:r>
      <w:r w:rsidR="00B25D7B" w:rsidRPr="00C703EF">
        <w:rPr>
          <w:color w:val="000000" w:themeColor="text1"/>
          <w:sz w:val="22"/>
          <w:szCs w:val="22"/>
        </w:rPr>
        <w:t xml:space="preserve"> </w:t>
      </w:r>
      <w:r w:rsidRPr="00C703EF">
        <w:rPr>
          <w:color w:val="000000" w:themeColor="text1"/>
          <w:sz w:val="22"/>
          <w:szCs w:val="22"/>
        </w:rPr>
        <w:t>roku</w:t>
      </w:r>
      <w:r w:rsidR="00BC00B7" w:rsidRPr="00C703EF">
        <w:rPr>
          <w:color w:val="000000" w:themeColor="text1"/>
          <w:sz w:val="22"/>
          <w:szCs w:val="22"/>
        </w:rPr>
        <w:t xml:space="preserve">, </w:t>
      </w:r>
      <w:r w:rsidRPr="00C703EF">
        <w:rPr>
          <w:color w:val="000000" w:themeColor="text1"/>
          <w:sz w:val="22"/>
          <w:szCs w:val="22"/>
        </w:rPr>
        <w:t>co powinno być odzwierciedlone w protokole i musi być taki sam w danym asortymencie.</w:t>
      </w:r>
    </w:p>
    <w:p w:rsidR="00447D73" w:rsidRPr="00C703EF" w:rsidRDefault="00447D73" w:rsidP="00447D73">
      <w:pPr>
        <w:pStyle w:val="Tekstpodstawowy"/>
        <w:numPr>
          <w:ilvl w:val="0"/>
          <w:numId w:val="10"/>
        </w:numPr>
        <w:tabs>
          <w:tab w:val="clear" w:pos="709"/>
          <w:tab w:val="clear" w:pos="993"/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Nie dopuszcza się zaproponowania akumulatorów o parametrach technicznych wykraczających poza określone przedziały wielkości granic</w:t>
      </w:r>
      <w:r w:rsidR="00110D26" w:rsidRPr="00C703EF">
        <w:rPr>
          <w:sz w:val="22"/>
          <w:szCs w:val="22"/>
        </w:rPr>
        <w:t xml:space="preserve">znych podane w załączniku nr </w:t>
      </w:r>
      <w:r w:rsidR="00E70C14" w:rsidRPr="00C703EF">
        <w:rPr>
          <w:sz w:val="22"/>
          <w:szCs w:val="22"/>
        </w:rPr>
        <w:t>2</w:t>
      </w:r>
      <w:r w:rsidR="003A67D9" w:rsidRPr="00C703EF">
        <w:rPr>
          <w:sz w:val="22"/>
          <w:szCs w:val="22"/>
        </w:rPr>
        <w:t xml:space="preserve"> do opisu przedmiotu </w:t>
      </w:r>
      <w:r w:rsidR="00055521" w:rsidRPr="00C703EF">
        <w:rPr>
          <w:sz w:val="22"/>
          <w:szCs w:val="22"/>
        </w:rPr>
        <w:t>zamówienia</w:t>
      </w:r>
      <w:r w:rsidRPr="00C703EF">
        <w:rPr>
          <w:sz w:val="22"/>
          <w:szCs w:val="22"/>
        </w:rPr>
        <w:t xml:space="preserve"> (dla całości asortymentu), w części dotyczącej pojemności akumulatorów. </w:t>
      </w:r>
    </w:p>
    <w:p w:rsidR="00447D73" w:rsidRPr="00C703EF" w:rsidRDefault="00447D73" w:rsidP="00447D73">
      <w:pPr>
        <w:pStyle w:val="Tekstpodstawowy"/>
        <w:numPr>
          <w:ilvl w:val="0"/>
          <w:numId w:val="10"/>
        </w:numPr>
        <w:tabs>
          <w:tab w:val="clear" w:pos="709"/>
          <w:tab w:val="clear" w:pos="993"/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Dopuszcza się możliwość zaproponowania akumulatorów o wyższych parametrach technicznych,</w:t>
      </w:r>
      <w:r w:rsidR="00404A7B" w:rsidRPr="00C703EF">
        <w:rPr>
          <w:sz w:val="22"/>
          <w:szCs w:val="22"/>
        </w:rPr>
        <w:t xml:space="preserve"> niż podane </w:t>
      </w:r>
      <w:r w:rsidR="0019321C" w:rsidRPr="00C703EF">
        <w:rPr>
          <w:sz w:val="22"/>
          <w:szCs w:val="22"/>
        </w:rPr>
        <w:t xml:space="preserve">w </w:t>
      </w:r>
      <w:r w:rsidRPr="00C703EF">
        <w:rPr>
          <w:sz w:val="22"/>
          <w:szCs w:val="22"/>
        </w:rPr>
        <w:t xml:space="preserve"> </w:t>
      </w:r>
      <w:r w:rsidR="003A67D9" w:rsidRPr="00C703EF">
        <w:rPr>
          <w:sz w:val="22"/>
          <w:szCs w:val="22"/>
        </w:rPr>
        <w:t xml:space="preserve">opisie przedmiotu zamówienia </w:t>
      </w:r>
      <w:r w:rsidR="0019321C" w:rsidRPr="00C703EF">
        <w:rPr>
          <w:sz w:val="22"/>
          <w:szCs w:val="22"/>
        </w:rPr>
        <w:t xml:space="preserve">do umowy </w:t>
      </w:r>
      <w:r w:rsidRPr="00C703EF">
        <w:rPr>
          <w:sz w:val="22"/>
          <w:szCs w:val="22"/>
        </w:rPr>
        <w:t>(dla całości asortymentu), w części dotyczącej prądu rozruchowego.</w:t>
      </w:r>
    </w:p>
    <w:p w:rsidR="00447D73" w:rsidRPr="00C703EF" w:rsidRDefault="00447D73" w:rsidP="00447D73">
      <w:pPr>
        <w:pStyle w:val="Tekstpodstawowy"/>
        <w:numPr>
          <w:ilvl w:val="0"/>
          <w:numId w:val="10"/>
        </w:numPr>
        <w:tabs>
          <w:tab w:val="clear" w:pos="709"/>
          <w:tab w:val="clear" w:pos="993"/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W pozycjach, w których nie wskazano typu mocowania akumulatora, parametr ten należy traktować jako nieistotny.</w:t>
      </w:r>
    </w:p>
    <w:p w:rsidR="00447D73" w:rsidRPr="00C703EF" w:rsidRDefault="00447D73" w:rsidP="00447D73">
      <w:pPr>
        <w:pStyle w:val="Tekstpodstawowy"/>
        <w:numPr>
          <w:ilvl w:val="0"/>
          <w:numId w:val="10"/>
        </w:numPr>
        <w:tabs>
          <w:tab w:val="clear" w:pos="709"/>
          <w:tab w:val="clear" w:pos="993"/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Wykonawca musi przekazać Odbiorcy indywidualne karty gwarancyjne, z informacją </w:t>
      </w:r>
      <w:r w:rsidRPr="00C703EF">
        <w:rPr>
          <w:sz w:val="22"/>
          <w:szCs w:val="22"/>
        </w:rPr>
        <w:br/>
        <w:t>o warunkach udzielonej gwarancji, na każdy rodzaj asortymentu dostarczanych akumulatorów oraz o sposobie postępowania w przypadku konieczności uruchomienia procedury gwarancyjnej.</w:t>
      </w:r>
      <w:r w:rsidRPr="00C703EF">
        <w:rPr>
          <w:spacing w:val="1"/>
          <w:sz w:val="22"/>
          <w:szCs w:val="22"/>
        </w:rPr>
        <w:t xml:space="preserve"> Jeśli w momencie dostawy </w:t>
      </w:r>
      <w:r w:rsidRPr="00C703EF">
        <w:rPr>
          <w:spacing w:val="-5"/>
          <w:sz w:val="22"/>
          <w:szCs w:val="22"/>
        </w:rPr>
        <w:t xml:space="preserve">lub podczas eksploatacji </w:t>
      </w:r>
      <w:r w:rsidRPr="00C703EF">
        <w:rPr>
          <w:spacing w:val="1"/>
          <w:sz w:val="22"/>
          <w:szCs w:val="22"/>
        </w:rPr>
        <w:t>asortyment nie spełnia parametrów technicznych opisanych w umowie,</w:t>
      </w:r>
      <w:r w:rsidR="00055521" w:rsidRPr="00C703EF">
        <w:rPr>
          <w:spacing w:val="-5"/>
          <w:sz w:val="22"/>
          <w:szCs w:val="22"/>
        </w:rPr>
        <w:t xml:space="preserve"> winien podlegać </w:t>
      </w:r>
      <w:r w:rsidRPr="00C703EF">
        <w:rPr>
          <w:spacing w:val="-5"/>
          <w:sz w:val="22"/>
          <w:szCs w:val="22"/>
        </w:rPr>
        <w:t xml:space="preserve">on wymianie na nowy, </w:t>
      </w:r>
      <w:r w:rsidRPr="00C703EF">
        <w:rPr>
          <w:spacing w:val="-4"/>
          <w:sz w:val="22"/>
          <w:szCs w:val="22"/>
        </w:rPr>
        <w:t>wolny od wad.</w:t>
      </w:r>
    </w:p>
    <w:p w:rsidR="00447D73" w:rsidRPr="00C703EF" w:rsidRDefault="00447D73" w:rsidP="00B25D7B">
      <w:pPr>
        <w:numPr>
          <w:ilvl w:val="0"/>
          <w:numId w:val="10"/>
        </w:numPr>
        <w:tabs>
          <w:tab w:val="left" w:pos="-1560"/>
          <w:tab w:val="left" w:pos="5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W celu zapewnienia odpowiedniej jakości asortymentu proponowanego do dostawy wykonawca złoży oświadczenia, że:</w:t>
      </w:r>
    </w:p>
    <w:p w:rsidR="00447D73" w:rsidRPr="00C703EF" w:rsidRDefault="00447D73" w:rsidP="00B25D7B">
      <w:pPr>
        <w:pStyle w:val="Tekstpodstawowywcity"/>
        <w:numPr>
          <w:ilvl w:val="0"/>
          <w:numId w:val="3"/>
        </w:numPr>
        <w:tabs>
          <w:tab w:val="clear" w:pos="1531"/>
          <w:tab w:val="left" w:pos="-1560"/>
          <w:tab w:val="num" w:pos="1276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akumulatory zostały wyprodukowane w zakładzie spełniającym wymagania systemu zarządzania jakością ISO/TS 16949:2009 lub ISO/TS16949:2016</w:t>
      </w:r>
      <w:r w:rsidRPr="00C703EF">
        <w:rPr>
          <w:rStyle w:val="Odwoanieprzypisudolnego"/>
          <w:sz w:val="22"/>
          <w:szCs w:val="22"/>
        </w:rPr>
        <w:footnoteReference w:id="1"/>
      </w:r>
      <w:r w:rsidRPr="00C703EF">
        <w:rPr>
          <w:i/>
          <w:sz w:val="22"/>
          <w:szCs w:val="22"/>
        </w:rPr>
        <w:t xml:space="preserve"> </w:t>
      </w:r>
      <w:r w:rsidRPr="00C703EF">
        <w:rPr>
          <w:sz w:val="22"/>
          <w:szCs w:val="22"/>
        </w:rPr>
        <w:t xml:space="preserve"> lub publikacji równoważnej; </w:t>
      </w:r>
    </w:p>
    <w:p w:rsidR="00447D73" w:rsidRPr="00C703EF" w:rsidRDefault="00447D73" w:rsidP="00B25D7B">
      <w:pPr>
        <w:pStyle w:val="Tekstpodstawowywcity"/>
        <w:numPr>
          <w:ilvl w:val="0"/>
          <w:numId w:val="3"/>
        </w:numPr>
        <w:tabs>
          <w:tab w:val="clear" w:pos="1531"/>
          <w:tab w:val="left" w:pos="-1560"/>
          <w:tab w:val="num" w:pos="1276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proponowane do dostawy akumulatory spełniają normy: </w:t>
      </w:r>
    </w:p>
    <w:p w:rsidR="00447D73" w:rsidRPr="00C703EF" w:rsidRDefault="00447D73" w:rsidP="00B25D7B">
      <w:pPr>
        <w:pStyle w:val="Tekstpodstawowywcity"/>
        <w:numPr>
          <w:ilvl w:val="0"/>
          <w:numId w:val="14"/>
        </w:numPr>
        <w:tabs>
          <w:tab w:val="left" w:pos="-1560"/>
        </w:tabs>
        <w:spacing w:line="276" w:lineRule="auto"/>
        <w:ind w:left="1843" w:hanging="283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PN-EN 50342-1:2016 dla całości asortymentu;</w:t>
      </w:r>
    </w:p>
    <w:p w:rsidR="00447D73" w:rsidRPr="00C703EF" w:rsidRDefault="00395EE4" w:rsidP="00B25D7B">
      <w:pPr>
        <w:pStyle w:val="Tekstpodstawowywcity"/>
        <w:numPr>
          <w:ilvl w:val="0"/>
          <w:numId w:val="14"/>
        </w:numPr>
        <w:tabs>
          <w:tab w:val="left" w:pos="-1560"/>
        </w:tabs>
        <w:spacing w:line="276" w:lineRule="auto"/>
        <w:ind w:left="1843" w:hanging="283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PN-EN </w:t>
      </w:r>
      <w:r w:rsidR="00F246F1" w:rsidRPr="00C703EF">
        <w:rPr>
          <w:sz w:val="22"/>
          <w:szCs w:val="22"/>
        </w:rPr>
        <w:t>50342-4:2021-09</w:t>
      </w:r>
      <w:r w:rsidR="00447D73" w:rsidRPr="00C703EF">
        <w:rPr>
          <w:sz w:val="22"/>
          <w:szCs w:val="22"/>
        </w:rPr>
        <w:t xml:space="preserve"> dla całości asortymentu</w:t>
      </w:r>
    </w:p>
    <w:p w:rsidR="00447D73" w:rsidRPr="00C703EF" w:rsidRDefault="00D10C05" w:rsidP="00447D73">
      <w:pPr>
        <w:numPr>
          <w:ilvl w:val="0"/>
          <w:numId w:val="10"/>
        </w:numPr>
        <w:tabs>
          <w:tab w:val="left" w:pos="-1560"/>
          <w:tab w:val="left" w:pos="5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after="120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Odbiór akumulatorów </w:t>
      </w:r>
      <w:r w:rsidR="00447D73" w:rsidRPr="00C703EF">
        <w:rPr>
          <w:sz w:val="22"/>
          <w:szCs w:val="22"/>
        </w:rPr>
        <w:t>będzie obejmował sprawdzenie między innymi:</w:t>
      </w:r>
    </w:p>
    <w:p w:rsidR="00447D73" w:rsidRPr="00C703EF" w:rsidRDefault="00447D73" w:rsidP="00B25D7B">
      <w:pPr>
        <w:pStyle w:val="Tekstpodstawowywcity"/>
        <w:numPr>
          <w:ilvl w:val="0"/>
          <w:numId w:val="3"/>
        </w:numPr>
        <w:tabs>
          <w:tab w:val="left" w:pos="-1560"/>
        </w:tabs>
        <w:spacing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ilości określonych w umowie;</w:t>
      </w:r>
    </w:p>
    <w:p w:rsidR="00E02A8D" w:rsidRPr="00C703EF" w:rsidRDefault="00447D73" w:rsidP="00E02A8D">
      <w:pPr>
        <w:pStyle w:val="Tekstpodstawowywcity"/>
        <w:numPr>
          <w:ilvl w:val="0"/>
          <w:numId w:val="3"/>
        </w:numPr>
        <w:tabs>
          <w:tab w:val="left" w:pos="-1560"/>
        </w:tabs>
        <w:spacing w:before="100" w:beforeAutospacing="1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zgodności parametrów technicznych </w:t>
      </w:r>
      <w:r w:rsidR="00E02A8D" w:rsidRPr="00C703EF">
        <w:rPr>
          <w:sz w:val="22"/>
          <w:szCs w:val="22"/>
        </w:rPr>
        <w:t xml:space="preserve">(określonych w </w:t>
      </w:r>
      <w:r w:rsidR="004C77E3" w:rsidRPr="00C703EF">
        <w:rPr>
          <w:sz w:val="22"/>
          <w:szCs w:val="22"/>
        </w:rPr>
        <w:t>niniejszym opisie przedmiotu zamówienia)</w:t>
      </w:r>
    </w:p>
    <w:p w:rsidR="00447D73" w:rsidRPr="00C703EF" w:rsidRDefault="00447D73" w:rsidP="00447D73">
      <w:pPr>
        <w:pStyle w:val="Tekstpodstawowywcity"/>
        <w:numPr>
          <w:ilvl w:val="0"/>
          <w:numId w:val="3"/>
        </w:numPr>
        <w:tabs>
          <w:tab w:val="left" w:pos="-1560"/>
        </w:tabs>
        <w:spacing w:before="100" w:beforeAutospacing="1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jakości i poprawności wykonania zgodnie z przywołanymi normami technicznymi:</w:t>
      </w:r>
    </w:p>
    <w:p w:rsidR="00447D73" w:rsidRPr="00C703EF" w:rsidRDefault="00447D73" w:rsidP="00B25D7B">
      <w:pPr>
        <w:pStyle w:val="Tekstpodstawowywcity"/>
        <w:numPr>
          <w:ilvl w:val="0"/>
          <w:numId w:val="15"/>
        </w:numPr>
        <w:tabs>
          <w:tab w:val="left" w:pos="-1560"/>
        </w:tabs>
        <w:spacing w:line="276" w:lineRule="auto"/>
        <w:ind w:left="1843" w:hanging="283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PN-EN 50342-1:2016 „Ak</w:t>
      </w:r>
      <w:r w:rsidR="00B25D7B" w:rsidRPr="00C703EF">
        <w:rPr>
          <w:sz w:val="22"/>
          <w:szCs w:val="22"/>
        </w:rPr>
        <w:t xml:space="preserve">umulatory ołowiowe rozruchowe.  </w:t>
      </w:r>
      <w:r w:rsidRPr="00C703EF">
        <w:rPr>
          <w:sz w:val="22"/>
          <w:szCs w:val="22"/>
        </w:rPr>
        <w:t>Części 1: wymagania ogólne i metody badań” - dla całości asortymentu;</w:t>
      </w:r>
    </w:p>
    <w:p w:rsidR="00447D73" w:rsidRPr="00C703EF" w:rsidRDefault="00F246F1" w:rsidP="00B25D7B">
      <w:pPr>
        <w:pStyle w:val="Tekstpodstawowywcity"/>
        <w:numPr>
          <w:ilvl w:val="0"/>
          <w:numId w:val="15"/>
        </w:numPr>
        <w:tabs>
          <w:tab w:val="left" w:pos="-1560"/>
        </w:tabs>
        <w:spacing w:line="276" w:lineRule="auto"/>
        <w:ind w:left="1843" w:hanging="283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PN-EN 50342-4:2021-09</w:t>
      </w:r>
      <w:r w:rsidR="00447D73" w:rsidRPr="00C703EF">
        <w:rPr>
          <w:sz w:val="22"/>
          <w:szCs w:val="22"/>
        </w:rPr>
        <w:t xml:space="preserve"> „Akumulatory ołowiowe rozruchowe Część 4: wymiary akumulatorów do pojazdów ciężkich” </w:t>
      </w:r>
    </w:p>
    <w:p w:rsidR="00447D73" w:rsidRPr="00C703EF" w:rsidRDefault="00447D73" w:rsidP="00B25D7B">
      <w:pPr>
        <w:pStyle w:val="Tekstpodstawowywcity"/>
        <w:numPr>
          <w:ilvl w:val="0"/>
          <w:numId w:val="10"/>
        </w:numPr>
        <w:tabs>
          <w:tab w:val="left" w:pos="-1560"/>
          <w:tab w:val="left" w:pos="567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00" w:beforeAutospacing="1" w:line="360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Wraz z dostawą akumulatorów muszą być dostarczone</w:t>
      </w:r>
      <w:bookmarkStart w:id="0" w:name="_GoBack"/>
      <w:bookmarkEnd w:id="0"/>
      <w:r w:rsidRPr="00C703EF">
        <w:rPr>
          <w:sz w:val="22"/>
          <w:szCs w:val="22"/>
        </w:rPr>
        <w:t>:</w:t>
      </w:r>
    </w:p>
    <w:p w:rsidR="00447D73" w:rsidRPr="00C703EF" w:rsidRDefault="00447D73" w:rsidP="00B25D7B">
      <w:pPr>
        <w:pStyle w:val="Tekstpodstawowywcity"/>
        <w:numPr>
          <w:ilvl w:val="0"/>
          <w:numId w:val="3"/>
        </w:numPr>
        <w:tabs>
          <w:tab w:val="left" w:pos="-1560"/>
        </w:tabs>
        <w:spacing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>Instrukcje obsługi akumulatorów objętych zamówieniem (dla każdego akumulatora) - w języku polsk</w:t>
      </w:r>
      <w:r w:rsidR="00F246F1" w:rsidRPr="00C703EF">
        <w:rPr>
          <w:sz w:val="22"/>
          <w:szCs w:val="22"/>
        </w:rPr>
        <w:t>im .</w:t>
      </w:r>
    </w:p>
    <w:p w:rsidR="00447D73" w:rsidRPr="00C703EF" w:rsidRDefault="00447D73" w:rsidP="00447D73">
      <w:pPr>
        <w:pStyle w:val="Tekstpodstawowywcity"/>
        <w:numPr>
          <w:ilvl w:val="0"/>
          <w:numId w:val="3"/>
        </w:numPr>
        <w:tabs>
          <w:tab w:val="left" w:pos="-1560"/>
        </w:tabs>
        <w:spacing w:before="100" w:beforeAutospacing="1" w:line="276" w:lineRule="auto"/>
        <w:jc w:val="both"/>
        <w:rPr>
          <w:color w:val="FF0000"/>
          <w:sz w:val="22"/>
          <w:szCs w:val="22"/>
        </w:rPr>
      </w:pPr>
      <w:r w:rsidRPr="00C703EF">
        <w:rPr>
          <w:color w:val="000000" w:themeColor="text1"/>
          <w:sz w:val="22"/>
          <w:szCs w:val="22"/>
        </w:rPr>
        <w:t>Karty gwaran</w:t>
      </w:r>
      <w:r w:rsidR="004C77E3" w:rsidRPr="00C703EF">
        <w:rPr>
          <w:color w:val="000000" w:themeColor="text1"/>
          <w:sz w:val="22"/>
          <w:szCs w:val="22"/>
        </w:rPr>
        <w:t>cyjne – o których mowa w pkt. 7</w:t>
      </w:r>
      <w:r w:rsidR="00980967" w:rsidRPr="00C703EF">
        <w:rPr>
          <w:color w:val="000000" w:themeColor="text1"/>
          <w:sz w:val="22"/>
          <w:szCs w:val="22"/>
        </w:rPr>
        <w:t>.</w:t>
      </w:r>
    </w:p>
    <w:p w:rsidR="00447D73" w:rsidRPr="00C703EF" w:rsidRDefault="00447D73" w:rsidP="00447D73">
      <w:pPr>
        <w:pStyle w:val="Tekstpodstawowywcity"/>
        <w:numPr>
          <w:ilvl w:val="0"/>
          <w:numId w:val="3"/>
        </w:numPr>
        <w:tabs>
          <w:tab w:val="left" w:pos="-1560"/>
        </w:tabs>
        <w:spacing w:before="100" w:beforeAutospacing="1" w:line="276" w:lineRule="auto"/>
        <w:jc w:val="both"/>
        <w:rPr>
          <w:sz w:val="22"/>
          <w:szCs w:val="22"/>
        </w:rPr>
      </w:pPr>
      <w:r w:rsidRPr="00C703EF">
        <w:rPr>
          <w:sz w:val="22"/>
          <w:szCs w:val="22"/>
        </w:rPr>
        <w:t xml:space="preserve">„Deklaracje zgodności” – wykonane według wzoru i na zasadach określonych w normach PN-EN ISO/IEC 17050-1 oraz PN-EN ISO/IEC 17050-2, jako potwierdzenie spełnienia wymagań norm, przywołanych w </w:t>
      </w:r>
      <w:r w:rsidR="009B623B" w:rsidRPr="00C703EF">
        <w:rPr>
          <w:sz w:val="22"/>
          <w:szCs w:val="22"/>
        </w:rPr>
        <w:t>pkt. 8.</w:t>
      </w:r>
    </w:p>
    <w:p w:rsidR="00AC39CC" w:rsidRPr="00C703EF" w:rsidRDefault="00AC39CC" w:rsidP="0019321C">
      <w:pPr>
        <w:spacing w:line="276" w:lineRule="auto"/>
        <w:rPr>
          <w:sz w:val="22"/>
          <w:szCs w:val="22"/>
        </w:rPr>
      </w:pPr>
    </w:p>
    <w:p w:rsidR="000F1DB6" w:rsidRPr="00C703EF" w:rsidRDefault="000F1DB6" w:rsidP="0019321C">
      <w:pPr>
        <w:spacing w:line="276" w:lineRule="auto"/>
        <w:rPr>
          <w:sz w:val="22"/>
          <w:szCs w:val="22"/>
        </w:rPr>
      </w:pPr>
    </w:p>
    <w:p w:rsidR="00D02AC5" w:rsidRPr="00C703EF" w:rsidRDefault="00D02AC5" w:rsidP="00D02AC5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D6713E" w:rsidRPr="00C703EF" w:rsidRDefault="00D6713E" w:rsidP="00715884">
      <w:pPr>
        <w:pStyle w:val="Tekstpodstawowywcity2"/>
        <w:ind w:left="0"/>
        <w:rPr>
          <w:b/>
          <w:i/>
          <w:sz w:val="22"/>
          <w:szCs w:val="22"/>
        </w:rPr>
      </w:pPr>
    </w:p>
    <w:sectPr w:rsidR="00D6713E" w:rsidRPr="00C703EF" w:rsidSect="00096400">
      <w:footerReference w:type="even" r:id="rId9"/>
      <w:footerReference w:type="first" r:id="rId10"/>
      <w:pgSz w:w="11906" w:h="16838"/>
      <w:pgMar w:top="720" w:right="720" w:bottom="426" w:left="720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1F" w:rsidRDefault="008F501F">
      <w:r>
        <w:separator/>
      </w:r>
    </w:p>
  </w:endnote>
  <w:endnote w:type="continuationSeparator" w:id="0">
    <w:p w:rsidR="008F501F" w:rsidRDefault="008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53" w:rsidRDefault="00873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0" w:rsidRDefault="00DB0B80">
    <w:pPr>
      <w:pStyle w:val="Stopka"/>
      <w:jc w:val="center"/>
    </w:pPr>
    <w:r w:rsidRPr="00DB0B80">
      <w:t xml:space="preserve">Strona </w:t>
    </w:r>
    <w:r w:rsidR="00873959" w:rsidRPr="00DB0B80">
      <w:rPr>
        <w:b/>
      </w:rPr>
      <w:fldChar w:fldCharType="begin"/>
    </w:r>
    <w:r w:rsidRPr="00DB0B80">
      <w:rPr>
        <w:b/>
      </w:rPr>
      <w:instrText>PAGE</w:instrText>
    </w:r>
    <w:r w:rsidR="00873959" w:rsidRPr="00DB0B80">
      <w:rPr>
        <w:b/>
      </w:rPr>
      <w:fldChar w:fldCharType="separate"/>
    </w:r>
    <w:r w:rsidR="00C703EF">
      <w:rPr>
        <w:b/>
        <w:noProof/>
      </w:rPr>
      <w:t>1</w:t>
    </w:r>
    <w:r w:rsidR="00873959" w:rsidRPr="00DB0B80">
      <w:rPr>
        <w:b/>
      </w:rPr>
      <w:fldChar w:fldCharType="end"/>
    </w:r>
    <w:r w:rsidR="00EA01FA">
      <w:t xml:space="preserve"> </w:t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1F" w:rsidRDefault="008F501F">
      <w:r>
        <w:separator/>
      </w:r>
    </w:p>
  </w:footnote>
  <w:footnote w:type="continuationSeparator" w:id="0">
    <w:p w:rsidR="008F501F" w:rsidRDefault="008F501F">
      <w:r>
        <w:continuationSeparator/>
      </w:r>
    </w:p>
  </w:footnote>
  <w:footnote w:id="1">
    <w:p w:rsidR="00447D73" w:rsidRPr="00F01B21" w:rsidRDefault="00447D73" w:rsidP="00447D73">
      <w:pPr>
        <w:pStyle w:val="Tekstprzypisudolnego"/>
        <w:spacing w:line="276" w:lineRule="auto"/>
        <w:ind w:left="142" w:hanging="215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1B21">
        <w:rPr>
          <w:rFonts w:ascii="Arial" w:hAnsi="Arial" w:cs="Arial"/>
          <w:i/>
          <w:sz w:val="18"/>
          <w:szCs w:val="18"/>
        </w:rPr>
        <w:t>„</w:t>
      </w:r>
      <w:r w:rsidRPr="00F01B21">
        <w:rPr>
          <w:rFonts w:ascii="Arial" w:hAnsi="Arial" w:cs="Arial"/>
          <w:sz w:val="18"/>
          <w:szCs w:val="18"/>
        </w:rPr>
        <w:t xml:space="preserve">System zarządzania jakością – szczegółowe wymagania do stosowania ISO 9001:2008 w przemyśle motoryzacyjnym </w:t>
      </w:r>
      <w:r>
        <w:rPr>
          <w:rFonts w:ascii="Arial" w:hAnsi="Arial" w:cs="Arial"/>
          <w:sz w:val="18"/>
          <w:szCs w:val="18"/>
        </w:rPr>
        <w:br/>
      </w:r>
      <w:r w:rsidRPr="00F01B21">
        <w:rPr>
          <w:rFonts w:ascii="Arial" w:hAnsi="Arial" w:cs="Arial"/>
          <w:sz w:val="18"/>
          <w:szCs w:val="18"/>
        </w:rPr>
        <w:t>w produkcji seryjnej oraz w produkcji części zamiennych” (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Quality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management syste</w:t>
      </w:r>
      <w:r>
        <w:rPr>
          <w:rFonts w:ascii="Arial" w:hAnsi="Arial" w:cs="Arial"/>
          <w:i/>
          <w:sz w:val="18"/>
          <w:szCs w:val="18"/>
        </w:rPr>
        <w:t xml:space="preserve">m – </w:t>
      </w:r>
      <w:proofErr w:type="spellStart"/>
      <w:r>
        <w:rPr>
          <w:rFonts w:ascii="Arial" w:hAnsi="Arial" w:cs="Arial"/>
          <w:i/>
          <w:sz w:val="18"/>
          <w:szCs w:val="18"/>
        </w:rPr>
        <w:t>Particular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requirements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for </w:t>
      </w:r>
      <w:r w:rsidRPr="00F01B21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application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of ISO 9001:2008 for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automotive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production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relevant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service part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organizations</w:t>
      </w:r>
      <w:proofErr w:type="spellEnd"/>
      <w:r w:rsidRPr="00F01B21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6BBEEC5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885092"/>
    <w:multiLevelType w:val="hybridMultilevel"/>
    <w:tmpl w:val="7CB48F56"/>
    <w:lvl w:ilvl="0" w:tplc="5D422D0A">
      <w:start w:val="1"/>
      <w:numFmt w:val="bullet"/>
      <w:lvlText w:val=""/>
      <w:lvlJc w:val="left"/>
      <w:pPr>
        <w:ind w:left="31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13EA255E"/>
    <w:multiLevelType w:val="hybridMultilevel"/>
    <w:tmpl w:val="A6F4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0AD"/>
    <w:multiLevelType w:val="hybridMultilevel"/>
    <w:tmpl w:val="D064086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C215799"/>
    <w:multiLevelType w:val="hybridMultilevel"/>
    <w:tmpl w:val="9EE41EA6"/>
    <w:lvl w:ilvl="0" w:tplc="2FEAA5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291C"/>
    <w:multiLevelType w:val="multilevel"/>
    <w:tmpl w:val="4C04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9F022F8"/>
    <w:multiLevelType w:val="hybridMultilevel"/>
    <w:tmpl w:val="42A88B2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4D63505"/>
    <w:multiLevelType w:val="hybridMultilevel"/>
    <w:tmpl w:val="252A0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4418"/>
    <w:multiLevelType w:val="hybridMultilevel"/>
    <w:tmpl w:val="134CA02A"/>
    <w:lvl w:ilvl="0" w:tplc="A266A0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25E"/>
    <w:multiLevelType w:val="hybridMultilevel"/>
    <w:tmpl w:val="873A4158"/>
    <w:lvl w:ilvl="0" w:tplc="C3784A70">
      <w:start w:val="1"/>
      <w:numFmt w:val="bullet"/>
      <w:lvlText w:val="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C406955"/>
    <w:multiLevelType w:val="hybridMultilevel"/>
    <w:tmpl w:val="5576028C"/>
    <w:lvl w:ilvl="0" w:tplc="0415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1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4E3BC2"/>
    <w:multiLevelType w:val="hybridMultilevel"/>
    <w:tmpl w:val="3BEE641E"/>
    <w:lvl w:ilvl="0" w:tplc="67ACC8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A76C1"/>
    <w:multiLevelType w:val="multilevel"/>
    <w:tmpl w:val="D714B2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EA0481D"/>
    <w:multiLevelType w:val="hybridMultilevel"/>
    <w:tmpl w:val="9DA421C8"/>
    <w:lvl w:ilvl="0" w:tplc="0415000B">
      <w:start w:val="1"/>
      <w:numFmt w:val="bullet"/>
      <w:lvlText w:val=""/>
      <w:lvlJc w:val="left"/>
      <w:pPr>
        <w:ind w:left="22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6" w15:restartNumberingAfterBreak="0">
    <w:nsid w:val="720F7A52"/>
    <w:multiLevelType w:val="hybridMultilevel"/>
    <w:tmpl w:val="C97ADC5A"/>
    <w:lvl w:ilvl="0" w:tplc="0415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0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20193"/>
    <w:rsid w:val="000325F4"/>
    <w:rsid w:val="00033539"/>
    <w:rsid w:val="00036DA0"/>
    <w:rsid w:val="0004134D"/>
    <w:rsid w:val="00055521"/>
    <w:rsid w:val="00055A60"/>
    <w:rsid w:val="0005778D"/>
    <w:rsid w:val="00062767"/>
    <w:rsid w:val="00064DD7"/>
    <w:rsid w:val="00070730"/>
    <w:rsid w:val="0007347A"/>
    <w:rsid w:val="00077C6E"/>
    <w:rsid w:val="000827A7"/>
    <w:rsid w:val="00085CF1"/>
    <w:rsid w:val="00096400"/>
    <w:rsid w:val="000A1D5F"/>
    <w:rsid w:val="000A50EB"/>
    <w:rsid w:val="000B0A0B"/>
    <w:rsid w:val="000B49AC"/>
    <w:rsid w:val="000D2470"/>
    <w:rsid w:val="000E42EC"/>
    <w:rsid w:val="000E7279"/>
    <w:rsid w:val="000F1DB6"/>
    <w:rsid w:val="000F513F"/>
    <w:rsid w:val="001000B4"/>
    <w:rsid w:val="00103839"/>
    <w:rsid w:val="00110D26"/>
    <w:rsid w:val="00122FAA"/>
    <w:rsid w:val="00124180"/>
    <w:rsid w:val="0014758A"/>
    <w:rsid w:val="001543A7"/>
    <w:rsid w:val="001613F5"/>
    <w:rsid w:val="001760A7"/>
    <w:rsid w:val="00184603"/>
    <w:rsid w:val="001876B5"/>
    <w:rsid w:val="0019321C"/>
    <w:rsid w:val="001962A2"/>
    <w:rsid w:val="001A6EEA"/>
    <w:rsid w:val="001C1537"/>
    <w:rsid w:val="001C42BC"/>
    <w:rsid w:val="001C7F73"/>
    <w:rsid w:val="001E022D"/>
    <w:rsid w:val="001F56B9"/>
    <w:rsid w:val="00212429"/>
    <w:rsid w:val="00221C66"/>
    <w:rsid w:val="00222F35"/>
    <w:rsid w:val="002400AB"/>
    <w:rsid w:val="00241A76"/>
    <w:rsid w:val="00255E4F"/>
    <w:rsid w:val="00275692"/>
    <w:rsid w:val="00296F99"/>
    <w:rsid w:val="00297D1F"/>
    <w:rsid w:val="002A5F79"/>
    <w:rsid w:val="002B6B53"/>
    <w:rsid w:val="002C0814"/>
    <w:rsid w:val="002F50B7"/>
    <w:rsid w:val="00302673"/>
    <w:rsid w:val="00305578"/>
    <w:rsid w:val="003055B1"/>
    <w:rsid w:val="00320A9C"/>
    <w:rsid w:val="003212E7"/>
    <w:rsid w:val="0032196D"/>
    <w:rsid w:val="00322A92"/>
    <w:rsid w:val="003465AC"/>
    <w:rsid w:val="0035115C"/>
    <w:rsid w:val="003616B1"/>
    <w:rsid w:val="0037144A"/>
    <w:rsid w:val="00385028"/>
    <w:rsid w:val="00395EE4"/>
    <w:rsid w:val="003967E2"/>
    <w:rsid w:val="003A67D9"/>
    <w:rsid w:val="003B2B20"/>
    <w:rsid w:val="003B53E3"/>
    <w:rsid w:val="003C04C1"/>
    <w:rsid w:val="003C6D15"/>
    <w:rsid w:val="003F5FF9"/>
    <w:rsid w:val="00404A7B"/>
    <w:rsid w:val="00421112"/>
    <w:rsid w:val="00447D73"/>
    <w:rsid w:val="00457C84"/>
    <w:rsid w:val="00461993"/>
    <w:rsid w:val="004667D2"/>
    <w:rsid w:val="0049465C"/>
    <w:rsid w:val="004968C0"/>
    <w:rsid w:val="004A400D"/>
    <w:rsid w:val="004A771B"/>
    <w:rsid w:val="004B1647"/>
    <w:rsid w:val="004B3DCB"/>
    <w:rsid w:val="004C2D06"/>
    <w:rsid w:val="004C3299"/>
    <w:rsid w:val="004C5369"/>
    <w:rsid w:val="004C6E92"/>
    <w:rsid w:val="004C77E3"/>
    <w:rsid w:val="004E0BA8"/>
    <w:rsid w:val="004E21CF"/>
    <w:rsid w:val="004E2F0C"/>
    <w:rsid w:val="00501839"/>
    <w:rsid w:val="00507F7C"/>
    <w:rsid w:val="00522A0C"/>
    <w:rsid w:val="0053318E"/>
    <w:rsid w:val="00533DC5"/>
    <w:rsid w:val="00533E06"/>
    <w:rsid w:val="00545084"/>
    <w:rsid w:val="00551030"/>
    <w:rsid w:val="005605CA"/>
    <w:rsid w:val="005706C5"/>
    <w:rsid w:val="005719C2"/>
    <w:rsid w:val="00592A63"/>
    <w:rsid w:val="005A78E3"/>
    <w:rsid w:val="005B1DC6"/>
    <w:rsid w:val="005C6F2B"/>
    <w:rsid w:val="005C7A11"/>
    <w:rsid w:val="005D69EB"/>
    <w:rsid w:val="005E021C"/>
    <w:rsid w:val="005E335B"/>
    <w:rsid w:val="005E4243"/>
    <w:rsid w:val="005F2D17"/>
    <w:rsid w:val="005F52FF"/>
    <w:rsid w:val="00623463"/>
    <w:rsid w:val="006410E2"/>
    <w:rsid w:val="006614ED"/>
    <w:rsid w:val="00666009"/>
    <w:rsid w:val="006772FD"/>
    <w:rsid w:val="006803E7"/>
    <w:rsid w:val="006B284B"/>
    <w:rsid w:val="006B6870"/>
    <w:rsid w:val="006D0479"/>
    <w:rsid w:val="006E4B88"/>
    <w:rsid w:val="00702DB7"/>
    <w:rsid w:val="007042A3"/>
    <w:rsid w:val="007128BB"/>
    <w:rsid w:val="00715884"/>
    <w:rsid w:val="00724E34"/>
    <w:rsid w:val="00726882"/>
    <w:rsid w:val="00732A60"/>
    <w:rsid w:val="007758E4"/>
    <w:rsid w:val="00794BE3"/>
    <w:rsid w:val="007975CD"/>
    <w:rsid w:val="007B1517"/>
    <w:rsid w:val="007B1F09"/>
    <w:rsid w:val="007C2D05"/>
    <w:rsid w:val="007C4C2A"/>
    <w:rsid w:val="007F1B9A"/>
    <w:rsid w:val="007F468D"/>
    <w:rsid w:val="008069EE"/>
    <w:rsid w:val="00810C9E"/>
    <w:rsid w:val="00817766"/>
    <w:rsid w:val="00830EDF"/>
    <w:rsid w:val="00842F13"/>
    <w:rsid w:val="008721D7"/>
    <w:rsid w:val="00873959"/>
    <w:rsid w:val="00875465"/>
    <w:rsid w:val="00880E7E"/>
    <w:rsid w:val="00894C90"/>
    <w:rsid w:val="00895B6B"/>
    <w:rsid w:val="00895EBE"/>
    <w:rsid w:val="008A0EC8"/>
    <w:rsid w:val="008B07F2"/>
    <w:rsid w:val="008B534E"/>
    <w:rsid w:val="008B6253"/>
    <w:rsid w:val="008F1009"/>
    <w:rsid w:val="008F253F"/>
    <w:rsid w:val="008F501F"/>
    <w:rsid w:val="009030DE"/>
    <w:rsid w:val="0090529C"/>
    <w:rsid w:val="00907823"/>
    <w:rsid w:val="00914194"/>
    <w:rsid w:val="0093075B"/>
    <w:rsid w:val="009434A0"/>
    <w:rsid w:val="0095198E"/>
    <w:rsid w:val="0096259F"/>
    <w:rsid w:val="00980967"/>
    <w:rsid w:val="00985691"/>
    <w:rsid w:val="00991F6E"/>
    <w:rsid w:val="00997575"/>
    <w:rsid w:val="009B1483"/>
    <w:rsid w:val="009B3CC2"/>
    <w:rsid w:val="009B623B"/>
    <w:rsid w:val="009B6CBD"/>
    <w:rsid w:val="009F0472"/>
    <w:rsid w:val="00A06DB3"/>
    <w:rsid w:val="00A27530"/>
    <w:rsid w:val="00A35E87"/>
    <w:rsid w:val="00A36071"/>
    <w:rsid w:val="00A41AD8"/>
    <w:rsid w:val="00A4645A"/>
    <w:rsid w:val="00A61454"/>
    <w:rsid w:val="00A77B27"/>
    <w:rsid w:val="00AC0A45"/>
    <w:rsid w:val="00AC2F3D"/>
    <w:rsid w:val="00AC39CC"/>
    <w:rsid w:val="00AC597D"/>
    <w:rsid w:val="00AE4B30"/>
    <w:rsid w:val="00AF55D0"/>
    <w:rsid w:val="00B007A4"/>
    <w:rsid w:val="00B1113C"/>
    <w:rsid w:val="00B114A1"/>
    <w:rsid w:val="00B175A7"/>
    <w:rsid w:val="00B22045"/>
    <w:rsid w:val="00B231D4"/>
    <w:rsid w:val="00B25D7B"/>
    <w:rsid w:val="00B26723"/>
    <w:rsid w:val="00B27FC4"/>
    <w:rsid w:val="00B36A73"/>
    <w:rsid w:val="00B4336D"/>
    <w:rsid w:val="00B450DC"/>
    <w:rsid w:val="00B47577"/>
    <w:rsid w:val="00B96BBD"/>
    <w:rsid w:val="00B97128"/>
    <w:rsid w:val="00BB7ECD"/>
    <w:rsid w:val="00BC00B7"/>
    <w:rsid w:val="00BC3487"/>
    <w:rsid w:val="00C035D4"/>
    <w:rsid w:val="00C12AAA"/>
    <w:rsid w:val="00C148E4"/>
    <w:rsid w:val="00C16A46"/>
    <w:rsid w:val="00C16F36"/>
    <w:rsid w:val="00C21691"/>
    <w:rsid w:val="00C233A0"/>
    <w:rsid w:val="00C2376C"/>
    <w:rsid w:val="00C26109"/>
    <w:rsid w:val="00C2684E"/>
    <w:rsid w:val="00C31DFA"/>
    <w:rsid w:val="00C40E6A"/>
    <w:rsid w:val="00C601E3"/>
    <w:rsid w:val="00C703EF"/>
    <w:rsid w:val="00C71E22"/>
    <w:rsid w:val="00C92F25"/>
    <w:rsid w:val="00C976B9"/>
    <w:rsid w:val="00CB483D"/>
    <w:rsid w:val="00CC5EAD"/>
    <w:rsid w:val="00CD3E42"/>
    <w:rsid w:val="00CE036B"/>
    <w:rsid w:val="00CE5930"/>
    <w:rsid w:val="00CE67C6"/>
    <w:rsid w:val="00D0236F"/>
    <w:rsid w:val="00D02AC5"/>
    <w:rsid w:val="00D05405"/>
    <w:rsid w:val="00D10C05"/>
    <w:rsid w:val="00D339B3"/>
    <w:rsid w:val="00D36110"/>
    <w:rsid w:val="00D44E3D"/>
    <w:rsid w:val="00D52711"/>
    <w:rsid w:val="00D66595"/>
    <w:rsid w:val="00D6713E"/>
    <w:rsid w:val="00D70714"/>
    <w:rsid w:val="00D732F9"/>
    <w:rsid w:val="00D85071"/>
    <w:rsid w:val="00D869DD"/>
    <w:rsid w:val="00D915A8"/>
    <w:rsid w:val="00D92EF0"/>
    <w:rsid w:val="00D97362"/>
    <w:rsid w:val="00DA76BE"/>
    <w:rsid w:val="00DB0ADD"/>
    <w:rsid w:val="00DB0B80"/>
    <w:rsid w:val="00DE25B6"/>
    <w:rsid w:val="00DE3F91"/>
    <w:rsid w:val="00DE4D9F"/>
    <w:rsid w:val="00DE6D0B"/>
    <w:rsid w:val="00DF57FC"/>
    <w:rsid w:val="00E02A8D"/>
    <w:rsid w:val="00E11B2C"/>
    <w:rsid w:val="00E1550F"/>
    <w:rsid w:val="00E246E3"/>
    <w:rsid w:val="00E32548"/>
    <w:rsid w:val="00E35CCC"/>
    <w:rsid w:val="00E6775C"/>
    <w:rsid w:val="00E70C14"/>
    <w:rsid w:val="00E81A7A"/>
    <w:rsid w:val="00E8522C"/>
    <w:rsid w:val="00E90E17"/>
    <w:rsid w:val="00EA01FA"/>
    <w:rsid w:val="00EB0EA0"/>
    <w:rsid w:val="00ED1E7D"/>
    <w:rsid w:val="00EF3D6F"/>
    <w:rsid w:val="00F246F1"/>
    <w:rsid w:val="00F82DBF"/>
    <w:rsid w:val="00F93BDA"/>
    <w:rsid w:val="00F96B22"/>
    <w:rsid w:val="00FB2690"/>
    <w:rsid w:val="00FC1A15"/>
    <w:rsid w:val="00FC2D60"/>
    <w:rsid w:val="00FD09DE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123A8"/>
  <w15:docId w15:val="{37751AB8-830E-4B07-89C0-785D650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link w:val="TytuZnak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B0B80"/>
  </w:style>
  <w:style w:type="paragraph" w:styleId="Akapitzlist">
    <w:name w:val="List Paragraph"/>
    <w:basedOn w:val="Normalny"/>
    <w:uiPriority w:val="34"/>
    <w:qFormat/>
    <w:rsid w:val="00A35E87"/>
    <w:pPr>
      <w:autoSpaceDE w:val="0"/>
      <w:autoSpaceDN w:val="0"/>
      <w:ind w:left="720"/>
      <w:contextualSpacing/>
    </w:pPr>
    <w:rPr>
      <w:rFonts w:ascii="MS Sans Serif" w:hAnsi="MS Sans Serif" w:cs="MS Sans Seri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35E87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5E87"/>
    <w:rPr>
      <w:color w:val="000000"/>
      <w:sz w:val="24"/>
      <w:szCs w:val="24"/>
    </w:rPr>
  </w:style>
  <w:style w:type="paragraph" w:customStyle="1" w:styleId="Default">
    <w:name w:val="Default"/>
    <w:rsid w:val="00321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Akapitzlist1">
    <w:name w:val="Akapit z listą1"/>
    <w:basedOn w:val="Normalny"/>
    <w:uiPriority w:val="34"/>
    <w:qFormat/>
    <w:rsid w:val="00B1113C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34"/>
    <w:qFormat/>
    <w:rsid w:val="00895EB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47D73"/>
    <w:pPr>
      <w:spacing w:before="100" w:beforeAutospacing="1" w:line="360" w:lineRule="auto"/>
      <w:ind w:left="425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7D73"/>
  </w:style>
  <w:style w:type="character" w:styleId="Odwoanieprzypisudolnego">
    <w:name w:val="footnote reference"/>
    <w:rsid w:val="00447D7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3026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267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2673"/>
    <w:rPr>
      <w:b/>
      <w:bCs/>
    </w:rPr>
  </w:style>
  <w:style w:type="character" w:customStyle="1" w:styleId="TytuZnak">
    <w:name w:val="Tytuł Znak"/>
    <w:basedOn w:val="Domylnaczcionkaakapitu"/>
    <w:link w:val="Tytu"/>
    <w:rsid w:val="00D02AC5"/>
    <w:rPr>
      <w:b/>
      <w:sz w:val="28"/>
      <w:szCs w:val="24"/>
    </w:rPr>
  </w:style>
  <w:style w:type="table" w:styleId="Tabela-Siatka">
    <w:name w:val="Table Grid"/>
    <w:basedOn w:val="Standardowy"/>
    <w:rsid w:val="0045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FD05-E6BD-41CC-BE99-1DADB4BAB6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B761DF-C10D-481B-8976-F33E885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GAWRYSIAK Artur</cp:lastModifiedBy>
  <cp:revision>9</cp:revision>
  <cp:lastPrinted>2024-11-15T06:33:00Z</cp:lastPrinted>
  <dcterms:created xsi:type="dcterms:W3CDTF">2024-09-26T12:18:00Z</dcterms:created>
  <dcterms:modified xsi:type="dcterms:W3CDTF">2024-11-27T12:23:00Z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c0a2e5ab-d4b7-4568-b92c-d98f20e0def5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zL+A/Phb1FhhSikQAEKR1tcw0cKhzAAn</vt:lpwstr>
  </property>
  <property fmtid="{D5CDD505-2E9C-101B-9397-08002B2CF9AE}" pid="9" name="s5636:Creator type=author">
    <vt:lpwstr>SzefSz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10.80.30.21</vt:lpwstr>
  </property>
</Properties>
</file>